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F880" w14:textId="77777777" w:rsidR="00C40E57" w:rsidRPr="009C66D5" w:rsidRDefault="00C40E57" w:rsidP="00C40E57">
      <w:pPr>
        <w:tabs>
          <w:tab w:val="left" w:pos="708"/>
        </w:tabs>
        <w:spacing w:beforeAutospacing="1" w:afterAutospacing="1"/>
        <w:ind w:firstLine="5245"/>
        <w:rPr>
          <w:b/>
        </w:rPr>
      </w:pPr>
      <w:r>
        <w:rPr>
          <w:b/>
        </w:rPr>
        <w:t>П</w:t>
      </w:r>
      <w:r w:rsidRPr="009C66D5">
        <w:rPr>
          <w:b/>
        </w:rPr>
        <w:t>риложение № </w:t>
      </w:r>
      <w:r>
        <w:rPr>
          <w:b/>
        </w:rPr>
        <w:t>3</w:t>
      </w:r>
    </w:p>
    <w:p w14:paraId="04DA419C" w14:textId="77777777" w:rsidR="00C40E57" w:rsidRPr="009C66D5" w:rsidRDefault="00C40E57" w:rsidP="00C40E57">
      <w:pPr>
        <w:ind w:left="5245"/>
        <w:rPr>
          <w:sz w:val="20"/>
        </w:rPr>
      </w:pPr>
      <w:r w:rsidRPr="009C66D5">
        <w:rPr>
          <w:sz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4413C1EE" w14:textId="77777777" w:rsidR="00C40E57" w:rsidRPr="009C66D5" w:rsidRDefault="00C40E57" w:rsidP="00C40E57">
      <w:pPr>
        <w:ind w:left="5529" w:firstLine="4394"/>
      </w:pPr>
    </w:p>
    <w:p w14:paraId="4503B382" w14:textId="77777777" w:rsidR="00C40E57" w:rsidRPr="009C66D5" w:rsidRDefault="00C40E57" w:rsidP="00C40E57">
      <w:pPr>
        <w:jc w:val="center"/>
        <w:rPr>
          <w:b/>
          <w:sz w:val="28"/>
        </w:rPr>
      </w:pPr>
      <w:bookmarkStart w:id="0" w:name="_Hlk63771991"/>
      <w:bookmarkStart w:id="1" w:name="_Hlk44957104"/>
      <w:r w:rsidRPr="009C66D5">
        <w:rPr>
          <w:b/>
          <w:sz w:val="28"/>
        </w:rPr>
        <w:t xml:space="preserve">Факторы, препятствующие вынесению положительного решения </w:t>
      </w:r>
    </w:p>
    <w:p w14:paraId="3A0A5938" w14:textId="77777777" w:rsidR="00C40E57" w:rsidRPr="009C66D5" w:rsidRDefault="00C40E57" w:rsidP="00C40E57">
      <w:pPr>
        <w:jc w:val="center"/>
        <w:rPr>
          <w:b/>
          <w:sz w:val="28"/>
        </w:rPr>
      </w:pPr>
      <w:r w:rsidRPr="009C66D5">
        <w:rPr>
          <w:b/>
          <w:sz w:val="28"/>
        </w:rPr>
        <w:t>о предоставлении поручительства Центра</w:t>
      </w:r>
      <w:bookmarkEnd w:id="0"/>
      <w:r w:rsidRPr="009C66D5">
        <w:t xml:space="preserve"> </w:t>
      </w:r>
      <w:r w:rsidRPr="009C66D5">
        <w:rPr>
          <w:b/>
          <w:sz w:val="28"/>
        </w:rPr>
        <w:t>и заключения договора поручительства</w:t>
      </w:r>
    </w:p>
    <w:p w14:paraId="3A0D8EC3" w14:textId="77777777" w:rsidR="00C40E57" w:rsidRPr="009C66D5" w:rsidRDefault="00C40E57" w:rsidP="00C40E57">
      <w:pPr>
        <w:jc w:val="center"/>
      </w:pPr>
      <w:bookmarkStart w:id="2" w:name="_Hlk61106220"/>
      <w:r w:rsidRPr="009C66D5">
        <w:t>(для субъекта МСП или организации организациям инфраструктуры поддержки субъектов малого и среднего предпринимательства)</w:t>
      </w:r>
    </w:p>
    <w:bookmarkEnd w:id="1"/>
    <w:bookmarkEnd w:id="2"/>
    <w:p w14:paraId="352AAB61" w14:textId="77777777" w:rsidR="00C40E57" w:rsidRPr="009C66D5" w:rsidRDefault="00C40E57" w:rsidP="00C40E57">
      <w:pPr>
        <w:jc w:val="center"/>
        <w:rPr>
          <w:b/>
          <w:sz w:val="20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391"/>
      </w:tblGrid>
      <w:tr w:rsidR="00C40E57" w:rsidRPr="009C66D5" w14:paraId="1F5BE6CD" w14:textId="77777777" w:rsidTr="00BC0833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683A" w14:textId="77777777" w:rsidR="00C40E57" w:rsidRPr="009C66D5" w:rsidRDefault="00C40E57" w:rsidP="00BC0833">
            <w:pPr>
              <w:jc w:val="center"/>
              <w:rPr>
                <w:b/>
              </w:rPr>
            </w:pPr>
            <w:r w:rsidRPr="009C66D5">
              <w:rPr>
                <w:b/>
              </w:rPr>
              <w:t>№</w:t>
            </w:r>
          </w:p>
        </w:tc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578E" w14:textId="77777777" w:rsidR="00C40E57" w:rsidRPr="009C66D5" w:rsidRDefault="00C40E57" w:rsidP="00BC0833">
            <w:pPr>
              <w:jc w:val="center"/>
              <w:rPr>
                <w:b/>
              </w:rPr>
            </w:pPr>
          </w:p>
          <w:p w14:paraId="59EFBE4C" w14:textId="77777777" w:rsidR="00C40E57" w:rsidRPr="001203FE" w:rsidRDefault="00C40E57" w:rsidP="00BC0833">
            <w:pPr>
              <w:jc w:val="center"/>
              <w:rPr>
                <w:b/>
                <w:color w:val="000000" w:themeColor="text1"/>
              </w:rPr>
            </w:pPr>
            <w:r w:rsidRPr="009C66D5">
              <w:rPr>
                <w:b/>
                <w:color w:val="7030A0"/>
              </w:rPr>
              <w:t xml:space="preserve"> </w:t>
            </w:r>
            <w:r w:rsidRPr="001203FE">
              <w:rPr>
                <w:b/>
                <w:color w:val="000000" w:themeColor="text1"/>
              </w:rPr>
              <w:t>Факторы,</w:t>
            </w:r>
            <w:r w:rsidRPr="001203FE">
              <w:rPr>
                <w:color w:val="000000" w:themeColor="text1"/>
              </w:rPr>
              <w:t xml:space="preserve"> </w:t>
            </w:r>
            <w:r w:rsidRPr="001203FE">
              <w:rPr>
                <w:b/>
                <w:color w:val="000000" w:themeColor="text1"/>
              </w:rPr>
              <w:t xml:space="preserve">препятствующие вынесению положительного решения </w:t>
            </w:r>
          </w:p>
          <w:p w14:paraId="5D645009" w14:textId="77777777" w:rsidR="00C40E57" w:rsidRPr="001203FE" w:rsidRDefault="00C40E57" w:rsidP="00BC0833">
            <w:pPr>
              <w:jc w:val="center"/>
              <w:rPr>
                <w:color w:val="000000" w:themeColor="text1"/>
              </w:rPr>
            </w:pPr>
            <w:r w:rsidRPr="001203FE">
              <w:rPr>
                <w:b/>
                <w:color w:val="000000" w:themeColor="text1"/>
              </w:rPr>
              <w:t>о предоставлении поручительства Центра</w:t>
            </w:r>
          </w:p>
          <w:p w14:paraId="6C5F4EB8" w14:textId="77777777" w:rsidR="00C40E57" w:rsidRPr="009C66D5" w:rsidRDefault="00C40E57" w:rsidP="00BC0833">
            <w:pPr>
              <w:jc w:val="center"/>
              <w:rPr>
                <w:b/>
              </w:rPr>
            </w:pPr>
          </w:p>
        </w:tc>
      </w:tr>
      <w:tr w:rsidR="00C40E57" w:rsidRPr="009C66D5" w14:paraId="71432CA4" w14:textId="77777777" w:rsidTr="00BC0833">
        <w:trPr>
          <w:trHeight w:val="699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B206FD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</w:rPr>
            </w:pPr>
            <w:r w:rsidRPr="009C66D5">
              <w:rPr>
                <w:b/>
              </w:rPr>
              <w:t>1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C2DA71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</w:pPr>
            <w:r w:rsidRPr="009C66D5">
              <w:t xml:space="preserve">Отсутствие Заемщика в Едином реестре субъектов малого и среднего предпринимательства (сайт Федеральной налоговой службы  </w:t>
            </w:r>
            <w:hyperlink r:id="rId6" w:history="1">
              <w:r w:rsidRPr="009C66D5">
                <w:rPr>
                  <w:u w:val="single"/>
                </w:rPr>
                <w:t>https://rmsp.nalog.ru/</w:t>
              </w:r>
            </w:hyperlink>
            <w:r w:rsidRPr="009C66D5">
              <w:t xml:space="preserve">) </w:t>
            </w:r>
          </w:p>
        </w:tc>
      </w:tr>
      <w:tr w:rsidR="00C40E57" w:rsidRPr="009264C8" w14:paraId="56A39273" w14:textId="77777777" w:rsidTr="00BC0833">
        <w:trPr>
          <w:trHeight w:val="712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1478B4" w14:textId="77777777" w:rsidR="00C40E57" w:rsidRPr="009264C8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auto"/>
              </w:rPr>
            </w:pPr>
            <w:r w:rsidRPr="009264C8">
              <w:rPr>
                <w:b/>
                <w:color w:val="auto"/>
              </w:rPr>
              <w:t>2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167653C" w14:textId="77777777" w:rsidR="00C40E57" w:rsidRPr="009264C8" w:rsidRDefault="00C40E57" w:rsidP="00BC0833">
            <w:pPr>
              <w:tabs>
                <w:tab w:val="left" w:pos="708"/>
              </w:tabs>
              <w:contextualSpacing/>
              <w:jc w:val="both"/>
              <w:rPr>
                <w:color w:val="auto"/>
              </w:rPr>
            </w:pPr>
            <w:r w:rsidRPr="009264C8">
              <w:rPr>
                <w:color w:val="auto"/>
              </w:rPr>
              <w:t>Заемщик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C40E57" w:rsidRPr="009264C8" w14:paraId="793764A6" w14:textId="77777777" w:rsidTr="00BC0833">
        <w:trPr>
          <w:trHeight w:val="712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3635F2" w14:textId="77777777" w:rsidR="00C40E57" w:rsidRPr="009264C8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auto"/>
              </w:rPr>
            </w:pPr>
            <w:r w:rsidRPr="009264C8">
              <w:rPr>
                <w:b/>
                <w:color w:val="auto"/>
              </w:rPr>
              <w:t>3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6C05B88" w14:textId="77777777" w:rsidR="00C40E57" w:rsidRPr="009264C8" w:rsidRDefault="00C40E57" w:rsidP="00BC0833">
            <w:pPr>
              <w:tabs>
                <w:tab w:val="left" w:pos="708"/>
              </w:tabs>
              <w:contextualSpacing/>
              <w:jc w:val="both"/>
              <w:rPr>
                <w:color w:val="auto"/>
              </w:rPr>
            </w:pPr>
            <w:r w:rsidRPr="009264C8">
              <w:rPr>
                <w:color w:val="auto"/>
              </w:rPr>
              <w:t>С даты признания Заемщика совершившим нарушение порядка и условий оказания поддержки</w:t>
            </w:r>
            <w:r w:rsidRPr="009264C8">
              <w:rPr>
                <w:rStyle w:val="a4"/>
                <w:color w:val="auto"/>
              </w:rPr>
              <w:footnoteReference w:id="1"/>
            </w:r>
            <w:r w:rsidRPr="009264C8">
              <w:rPr>
                <w:color w:val="auto"/>
              </w:rPr>
              <w:t xml:space="preserve"> прошло менее одного года, за исключением случая более раннего устранения Заемщиком такого нарушения при условии соблюдения им срока устранения такого нарушения, установленного органом или организацией, оказавшими поддержку.</w:t>
            </w:r>
          </w:p>
          <w:p w14:paraId="3C844959" w14:textId="77777777" w:rsidR="00C40E57" w:rsidRPr="009264C8" w:rsidRDefault="00C40E57" w:rsidP="00BC0833">
            <w:pPr>
              <w:tabs>
                <w:tab w:val="left" w:pos="708"/>
              </w:tabs>
              <w:contextualSpacing/>
              <w:jc w:val="both"/>
              <w:rPr>
                <w:color w:val="auto"/>
              </w:rPr>
            </w:pPr>
            <w:r w:rsidRPr="009264C8">
              <w:rPr>
                <w:color w:val="auto"/>
              </w:rPr>
              <w:t xml:space="preserve">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</w:t>
            </w:r>
          </w:p>
          <w:p w14:paraId="39FEA61C" w14:textId="77777777" w:rsidR="00C40E57" w:rsidRPr="009264C8" w:rsidRDefault="00C40E57" w:rsidP="00BC0833">
            <w:pPr>
              <w:tabs>
                <w:tab w:val="left" w:pos="708"/>
              </w:tabs>
              <w:contextualSpacing/>
              <w:jc w:val="both"/>
              <w:rPr>
                <w:color w:val="auto"/>
              </w:rPr>
            </w:pPr>
            <w:r w:rsidRPr="009264C8">
              <w:rPr>
                <w:color w:val="auto"/>
              </w:rPr>
              <w:t xml:space="preserve">(информация из Единого реестра субъектов малого и среднего </w:t>
            </w:r>
            <w:proofErr w:type="gramStart"/>
            <w:r w:rsidRPr="009264C8">
              <w:rPr>
                <w:color w:val="auto"/>
              </w:rPr>
              <w:t>предпринимательства  сайта</w:t>
            </w:r>
            <w:proofErr w:type="gramEnd"/>
            <w:r w:rsidRPr="009264C8">
              <w:rPr>
                <w:color w:val="auto"/>
              </w:rPr>
              <w:t xml:space="preserve"> Федеральной налоговой службы  </w:t>
            </w:r>
            <w:hyperlink r:id="rId7" w:history="1">
              <w:r w:rsidRPr="009264C8">
                <w:rPr>
                  <w:rStyle w:val="a3"/>
                  <w:color w:val="auto"/>
                </w:rPr>
                <w:t>https://rmsp.nalog.ru/</w:t>
              </w:r>
            </w:hyperlink>
            <w:r w:rsidRPr="009264C8">
              <w:rPr>
                <w:color w:val="auto"/>
              </w:rPr>
              <w:t>)</w:t>
            </w:r>
            <w:r>
              <w:rPr>
                <w:rStyle w:val="a4"/>
                <w:color w:val="auto"/>
              </w:rPr>
              <w:footnoteReference w:id="2"/>
            </w:r>
            <w:r w:rsidRPr="009264C8">
              <w:rPr>
                <w:color w:val="auto"/>
              </w:rPr>
              <w:t xml:space="preserve">   </w:t>
            </w:r>
          </w:p>
        </w:tc>
      </w:tr>
      <w:tr w:rsidR="00C40E57" w:rsidRPr="009C66D5" w14:paraId="1B61D274" w14:textId="77777777" w:rsidTr="00BC0833">
        <w:trPr>
          <w:trHeight w:val="712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1D2465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  <w:lang w:val="en-US"/>
              </w:rPr>
              <w:t>4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20A2CB4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</w:pPr>
            <w:r w:rsidRPr="009C66D5">
              <w:t>Предоставление неполного пакета документов, определенного Центром, или предоставление недостоверных сведений и документов</w:t>
            </w:r>
          </w:p>
        </w:tc>
      </w:tr>
      <w:tr w:rsidR="00C40E57" w:rsidRPr="009C66D5" w14:paraId="686ED878" w14:textId="77777777" w:rsidTr="00BC0833">
        <w:trPr>
          <w:trHeight w:val="1541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D3768C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  <w:lang w:val="en-US"/>
              </w:rPr>
              <w:t>5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5779A7F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</w:pPr>
            <w:r w:rsidRPr="009C66D5">
              <w:t>Осуществление Заемщиком предпринимательской деятельности в сфере игорного бизнеса и(или) если Заемщик является участником соглашения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</w:tr>
      <w:tr w:rsidR="00C40E57" w:rsidRPr="009C66D5" w14:paraId="2AE37BBA" w14:textId="77777777" w:rsidTr="00BC0833">
        <w:trPr>
          <w:trHeight w:val="1535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7367BB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95F5F9B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</w:pPr>
            <w:r w:rsidRPr="009C66D5">
              <w:t>Заемщик находится в стадии ликвидации, реорганизации, а также в случае, если в отношении Заемщика применяется процедура несостоятельности (банкротства), в том числе наблюдения, финансового оздоровления, внешнего управления, конкурсного производства либо присутствуют санкции в виде аннулирования или приостановления действия лицензии (в случае, если деятельность Заемщика подлежит лицензированию)</w:t>
            </w:r>
          </w:p>
        </w:tc>
      </w:tr>
      <w:tr w:rsidR="00C40E57" w:rsidRPr="009C66D5" w14:paraId="1FEC3535" w14:textId="77777777" w:rsidTr="00BC0833">
        <w:trPr>
          <w:trHeight w:val="1260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0E4DCF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  <w:lang w:val="en-US"/>
              </w:rPr>
              <w:t>7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3CBE3BA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</w:pPr>
            <w:r w:rsidRPr="009C66D5">
              <w:t>Заемщик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</w:tc>
      </w:tr>
      <w:tr w:rsidR="00C40E57" w:rsidRPr="009C66D5" w14:paraId="213B42A1" w14:textId="77777777" w:rsidTr="00BC0833">
        <w:trPr>
          <w:trHeight w:val="1278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C1F58A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  <w:lang w:val="en-US"/>
              </w:rPr>
              <w:t>8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2F58D52" w14:textId="77777777" w:rsidR="00C40E57" w:rsidRPr="009C66D5" w:rsidRDefault="00C40E57" w:rsidP="00BC0833">
            <w:pPr>
              <w:jc w:val="both"/>
            </w:pPr>
            <w:r w:rsidRPr="009C66D5">
              <w:t xml:space="preserve">Наличие у </w:t>
            </w:r>
            <w:proofErr w:type="gramStart"/>
            <w:r w:rsidRPr="009C66D5">
              <w:t>Центра  информации</w:t>
            </w:r>
            <w:proofErr w:type="gramEnd"/>
            <w:r w:rsidRPr="009C66D5">
              <w:t>, позволяющей сделать вывод о том, что потенциальный Заемщик либо его Конечный бенефициар за последние три года  с даты регистрации заявки, имеет вступившие в законную силу судебные акты о взыскании задолженности по кредитному договору/ договору займа/лизинга.</w:t>
            </w:r>
          </w:p>
        </w:tc>
      </w:tr>
      <w:tr w:rsidR="00C40E57" w:rsidRPr="009C66D5" w14:paraId="4C6894C2" w14:textId="77777777" w:rsidTr="00BC0833">
        <w:trPr>
          <w:trHeight w:val="688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7EB09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  <w:lang w:val="en-US"/>
              </w:rPr>
              <w:t>9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0B33B" w14:textId="77777777" w:rsidR="00C40E57" w:rsidRPr="009C66D5" w:rsidRDefault="00C40E57" w:rsidP="00BC0833">
            <w:pPr>
              <w:jc w:val="both"/>
              <w:rPr>
                <w:color w:val="000000" w:themeColor="text1"/>
              </w:rPr>
            </w:pPr>
            <w:r w:rsidRPr="009C66D5">
              <w:rPr>
                <w:rFonts w:eastAsia="Calibri"/>
                <w:color w:val="000000" w:themeColor="text1"/>
                <w:szCs w:val="24"/>
                <w:lang w:eastAsia="en-US"/>
              </w:rPr>
              <w:t>При наличии у Заемщика, Конечного бенефициара отрицательной кредитной истории по оценке Центра</w:t>
            </w:r>
            <w:r w:rsidRPr="009C66D5">
              <w:rPr>
                <w:rStyle w:val="a4"/>
                <w:rFonts w:eastAsia="Calibri"/>
                <w:color w:val="000000" w:themeColor="text1"/>
                <w:szCs w:val="24"/>
                <w:lang w:eastAsia="en-US"/>
              </w:rPr>
              <w:footnoteReference w:id="3"/>
            </w:r>
            <w:r w:rsidRPr="009C66D5">
              <w:rPr>
                <w:rFonts w:eastAsia="Calibri"/>
                <w:color w:val="000000" w:themeColor="text1"/>
                <w:szCs w:val="24"/>
                <w:lang w:eastAsia="en-US"/>
              </w:rPr>
              <w:t>.</w:t>
            </w:r>
          </w:p>
        </w:tc>
      </w:tr>
      <w:tr w:rsidR="00C40E57" w:rsidRPr="009264C8" w14:paraId="79DE1427" w14:textId="77777777" w:rsidTr="00BC0833">
        <w:trPr>
          <w:trHeight w:val="126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1FA466" w14:textId="77777777" w:rsidR="00C40E57" w:rsidRPr="009264C8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auto"/>
                <w:lang w:val="en-US"/>
              </w:rPr>
            </w:pPr>
            <w:r w:rsidRPr="009264C8">
              <w:rPr>
                <w:b/>
                <w:color w:val="auto"/>
                <w:lang w:val="en-US"/>
              </w:rPr>
              <w:t>10</w:t>
            </w:r>
          </w:p>
        </w:tc>
        <w:tc>
          <w:tcPr>
            <w:tcW w:w="9391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FF2D9A9" w14:textId="77777777" w:rsidR="00C40E57" w:rsidRPr="009264C8" w:rsidRDefault="00C40E57" w:rsidP="00BC0833">
            <w:pPr>
              <w:tabs>
                <w:tab w:val="left" w:pos="708"/>
              </w:tabs>
              <w:jc w:val="both"/>
              <w:rPr>
                <w:color w:val="auto"/>
              </w:rPr>
            </w:pPr>
            <w:bookmarkStart w:id="7" w:name="_Hlk44957004"/>
            <w:r w:rsidRPr="009264C8">
              <w:rPr>
                <w:color w:val="auto"/>
              </w:rPr>
              <w:t xml:space="preserve">Нарушение подпункта </w:t>
            </w:r>
            <w:r>
              <w:rPr>
                <w:color w:val="auto"/>
              </w:rPr>
              <w:t>седьмого</w:t>
            </w:r>
            <w:r w:rsidRPr="009264C8">
              <w:rPr>
                <w:color w:val="auto"/>
              </w:rPr>
              <w:t xml:space="preserve"> п. 2.1.1</w:t>
            </w:r>
            <w:r>
              <w:rPr>
                <w:color w:val="auto"/>
              </w:rPr>
              <w:t>.</w:t>
            </w:r>
            <w:r w:rsidRPr="009264C8">
              <w:rPr>
                <w:color w:val="auto"/>
              </w:rPr>
              <w:t xml:space="preserve"> настоящего Регламента, а именно: </w:t>
            </w:r>
            <w:bookmarkEnd w:id="7"/>
            <w:r w:rsidRPr="009264C8">
              <w:rPr>
                <w:color w:val="auto"/>
              </w:rPr>
              <w:tab/>
            </w:r>
          </w:p>
          <w:p w14:paraId="329504DB" w14:textId="77777777" w:rsidR="00C40E57" w:rsidRPr="009264C8" w:rsidRDefault="00C40E57" w:rsidP="00BC0833">
            <w:pPr>
              <w:tabs>
                <w:tab w:val="left" w:pos="708"/>
              </w:tabs>
              <w:jc w:val="both"/>
              <w:rPr>
                <w:color w:val="auto"/>
              </w:rPr>
            </w:pPr>
            <w:r w:rsidRPr="009264C8">
              <w:rPr>
                <w:color w:val="auto"/>
              </w:rPr>
              <w:t xml:space="preserve">не предоставили Банку солидарное поручительство собственники (участники (учредители)) Заемщика в совокупности, контролирующих не менее, чем 55% долей/акций Заемщика, на всю сумму обязательств по кредитному договору, </w:t>
            </w:r>
          </w:p>
          <w:p w14:paraId="19E824F2" w14:textId="77777777" w:rsidR="00C40E57" w:rsidRPr="009264C8" w:rsidRDefault="00C40E57" w:rsidP="00BC0833">
            <w:pPr>
              <w:tabs>
                <w:tab w:val="left" w:pos="708"/>
              </w:tabs>
              <w:jc w:val="both"/>
              <w:rPr>
                <w:color w:val="auto"/>
              </w:rPr>
            </w:pPr>
            <w:r w:rsidRPr="009264C8">
              <w:rPr>
                <w:color w:val="auto"/>
              </w:rPr>
              <w:t>а для юридических лиц, зарегистрированных в форме кооперативов, – не предоставили Банку солидарное поручительство ни одного пайщика.</w:t>
            </w:r>
          </w:p>
        </w:tc>
      </w:tr>
      <w:tr w:rsidR="00C40E57" w:rsidRPr="009C66D5" w14:paraId="45B91C26" w14:textId="77777777" w:rsidTr="00BC0833">
        <w:trPr>
          <w:trHeight w:val="998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B81DDE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D5EB7AC" w14:textId="77777777" w:rsidR="00C40E57" w:rsidRPr="009C66D5" w:rsidRDefault="00C40E57" w:rsidP="00BC0833">
            <w:pPr>
              <w:tabs>
                <w:tab w:val="left" w:pos="708"/>
              </w:tabs>
              <w:jc w:val="both"/>
            </w:pPr>
            <w:r w:rsidRPr="009C66D5">
              <w:t>Наличие предъявленного требования Центру, либо исполнения обязательств Центром, по ранее заключенным договорам поручительства с Заемщиком/ГСК/ учредителем и /или директором/ Конечным(</w:t>
            </w:r>
            <w:proofErr w:type="spellStart"/>
            <w:r w:rsidRPr="009C66D5">
              <w:t>ыми</w:t>
            </w:r>
            <w:proofErr w:type="spellEnd"/>
            <w:r w:rsidRPr="009C66D5">
              <w:t>) бенефициаром(</w:t>
            </w:r>
            <w:proofErr w:type="spellStart"/>
            <w:r w:rsidRPr="009C66D5">
              <w:t>ами</w:t>
            </w:r>
            <w:proofErr w:type="spellEnd"/>
            <w:r w:rsidRPr="009C66D5">
              <w:t>) данного Заемщика.</w:t>
            </w:r>
          </w:p>
        </w:tc>
      </w:tr>
      <w:tr w:rsidR="00C40E57" w:rsidRPr="009C66D5" w14:paraId="5DD40E73" w14:textId="77777777" w:rsidTr="00BC0833">
        <w:trPr>
          <w:trHeight w:val="1254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979AF66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C4AD4D6" w14:textId="77777777" w:rsidR="00C40E57" w:rsidRPr="009C66D5" w:rsidRDefault="00C40E57" w:rsidP="00BC0833">
            <w:pPr>
              <w:tabs>
                <w:tab w:val="left" w:pos="708"/>
              </w:tabs>
              <w:jc w:val="both"/>
            </w:pPr>
            <w:r w:rsidRPr="009C66D5">
              <w:t xml:space="preserve">Наличие в отношении Заемщика арбитражных и/или иных судебных разбирательств в объемах более 25 % капитала Заемщика, при предоставлении поручительства Центра. В случае вхождения Заемщика в ГСК, рассматривается наличие арбитражных разбирательств и/или иных судебных ГСК в объемах более 25 % всего капитала ГСК. </w:t>
            </w:r>
          </w:p>
        </w:tc>
      </w:tr>
      <w:tr w:rsidR="00C40E57" w:rsidRPr="009C66D5" w14:paraId="6F63CEF0" w14:textId="77777777" w:rsidTr="00BC0833">
        <w:trPr>
          <w:trHeight w:val="2123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3B4398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B9CF4B0" w14:textId="77777777" w:rsidR="00C40E57" w:rsidRPr="009C66D5" w:rsidRDefault="00C40E57" w:rsidP="00BC0833">
            <w:pPr>
              <w:tabs>
                <w:tab w:val="left" w:pos="708"/>
              </w:tabs>
              <w:jc w:val="both"/>
            </w:pPr>
            <w:r w:rsidRPr="009C66D5">
              <w:t>Заемщик не подтвердил факт осуществления деятельности на территории Вологодской области (не зарегистрирован на территории Вологодской области и не предоставил в Центр ни одного договора, заключенного и/ или действовавшего в течение последних 12 (двенадцати) месяцев до даты предоставления заявки на получение поручительства в Центр, с контрагентом, зарегистрированным на территории Вологодской области, и подтверждающего осуществление предпринимательской деятельности на территории Вологодской области</w:t>
            </w:r>
          </w:p>
        </w:tc>
      </w:tr>
      <w:tr w:rsidR="00C40E57" w:rsidRPr="009C66D5" w14:paraId="6310DC1A" w14:textId="77777777" w:rsidTr="00BC0833">
        <w:trPr>
          <w:trHeight w:val="688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06C692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5FCB2C6" w14:textId="77777777" w:rsidR="00C40E57" w:rsidRPr="009C66D5" w:rsidRDefault="00C40E57" w:rsidP="00BC0833">
            <w:pPr>
              <w:tabs>
                <w:tab w:val="left" w:pos="708"/>
              </w:tabs>
              <w:jc w:val="both"/>
              <w:rPr>
                <w:color w:val="000000" w:themeColor="text1"/>
              </w:rPr>
            </w:pPr>
            <w:bookmarkStart w:id="8" w:name="_Hlk122876592"/>
            <w:r w:rsidRPr="009C66D5">
              <w:rPr>
                <w:color w:val="000000" w:themeColor="text1"/>
              </w:rPr>
              <w:t>На дату подачи заявки на получение поручительства у Заемщика имеется задолженность перед работниками (персоналом) по заработной плате, срок невыплаты которой составляет более 3 (трех) месяцев</w:t>
            </w:r>
          </w:p>
          <w:bookmarkEnd w:id="8"/>
          <w:p w14:paraId="1A630057" w14:textId="77777777" w:rsidR="00C40E57" w:rsidRPr="009C66D5" w:rsidRDefault="00C40E57" w:rsidP="00BC0833">
            <w:pPr>
              <w:tabs>
                <w:tab w:val="left" w:pos="708"/>
              </w:tabs>
              <w:jc w:val="both"/>
            </w:pPr>
          </w:p>
        </w:tc>
      </w:tr>
      <w:tr w:rsidR="00C40E57" w:rsidRPr="009C66D5" w14:paraId="02F208F6" w14:textId="77777777" w:rsidTr="00BC0833">
        <w:trPr>
          <w:trHeight w:val="1014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D8AAC3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B1BC219" w14:textId="77777777" w:rsidR="00C40E57" w:rsidRPr="009C66D5" w:rsidRDefault="00C40E57" w:rsidP="00BC0833">
            <w:pPr>
              <w:tabs>
                <w:tab w:val="left" w:pos="708"/>
              </w:tabs>
              <w:jc w:val="both"/>
            </w:pPr>
            <w:r w:rsidRPr="00AF225F">
              <w:rPr>
                <w:color w:val="000000" w:themeColor="text1"/>
              </w:rPr>
              <w:t>Превышение Гарантийного лимита, установленного в п.  1.9. Регламента предоставления поручительств по кредитным договорам и исполнения обязательств по договорам поручительства.</w:t>
            </w:r>
          </w:p>
        </w:tc>
      </w:tr>
      <w:tr w:rsidR="00C40E57" w:rsidRPr="009264C8" w14:paraId="0C31DAF3" w14:textId="77777777" w:rsidTr="00BC0833">
        <w:trPr>
          <w:trHeight w:val="1254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4E6A9C" w14:textId="77777777" w:rsidR="00C40E57" w:rsidRPr="009264C8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auto"/>
                <w:lang w:val="en-US"/>
              </w:rPr>
            </w:pPr>
            <w:r w:rsidRPr="009264C8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6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D5CA0B7" w14:textId="77777777" w:rsidR="00C40E57" w:rsidRPr="009264C8" w:rsidRDefault="00C40E57" w:rsidP="00BC0833">
            <w:pPr>
              <w:tabs>
                <w:tab w:val="left" w:pos="708"/>
              </w:tabs>
              <w:jc w:val="both"/>
              <w:rPr>
                <w:color w:val="auto"/>
              </w:rPr>
            </w:pPr>
            <w:r w:rsidRPr="009264C8">
              <w:rPr>
                <w:color w:val="auto"/>
              </w:rPr>
              <w:t>Превышение максимального объема единовременно выдаваемого поручительства в отношении одного субъекта МСП, организации инфраструктуры поддержки МСП (заемщика):</w:t>
            </w:r>
          </w:p>
          <w:p w14:paraId="758E663E" w14:textId="77777777" w:rsidR="00C40E57" w:rsidRPr="009264C8" w:rsidRDefault="00C40E57" w:rsidP="00BC0833">
            <w:pPr>
              <w:tabs>
                <w:tab w:val="left" w:pos="708"/>
              </w:tabs>
              <w:jc w:val="both"/>
              <w:rPr>
                <w:color w:val="auto"/>
              </w:rPr>
            </w:pPr>
            <w:r w:rsidRPr="009264C8">
              <w:rPr>
                <w:color w:val="auto"/>
              </w:rPr>
              <w:t xml:space="preserve">* юридического лица - более 25 млн. рублей, </w:t>
            </w:r>
          </w:p>
          <w:p w14:paraId="72F54996" w14:textId="77777777" w:rsidR="00C40E57" w:rsidRPr="009264C8" w:rsidRDefault="00C40E57" w:rsidP="00BC0833">
            <w:pPr>
              <w:tabs>
                <w:tab w:val="left" w:pos="708"/>
              </w:tabs>
              <w:jc w:val="both"/>
              <w:rPr>
                <w:color w:val="auto"/>
              </w:rPr>
            </w:pPr>
            <w:r w:rsidRPr="009264C8">
              <w:rPr>
                <w:color w:val="auto"/>
              </w:rPr>
              <w:t xml:space="preserve">* индивидуального предпринимателя - более 18 млн. рублей, </w:t>
            </w:r>
          </w:p>
          <w:p w14:paraId="47150371" w14:textId="77777777" w:rsidR="00C40E57" w:rsidRPr="009264C8" w:rsidRDefault="00C40E57" w:rsidP="00BC0833">
            <w:pPr>
              <w:tabs>
                <w:tab w:val="left" w:pos="708"/>
              </w:tabs>
              <w:jc w:val="both"/>
              <w:rPr>
                <w:color w:val="auto"/>
              </w:rPr>
            </w:pPr>
            <w:r w:rsidRPr="009264C8">
              <w:rPr>
                <w:color w:val="auto"/>
              </w:rPr>
              <w:t xml:space="preserve">* начинающего предпринимателя – более 5 </w:t>
            </w:r>
            <w:proofErr w:type="spellStart"/>
            <w:proofErr w:type="gramStart"/>
            <w:r w:rsidRPr="009264C8">
              <w:rPr>
                <w:color w:val="auto"/>
              </w:rPr>
              <w:t>млн.рублей</w:t>
            </w:r>
            <w:proofErr w:type="spellEnd"/>
            <w:proofErr w:type="gramEnd"/>
            <w:r w:rsidRPr="009264C8">
              <w:rPr>
                <w:color w:val="auto"/>
              </w:rPr>
              <w:t xml:space="preserve"> </w:t>
            </w:r>
          </w:p>
        </w:tc>
      </w:tr>
      <w:tr w:rsidR="00C40E57" w:rsidRPr="009C66D5" w14:paraId="60B5298D" w14:textId="77777777" w:rsidTr="00BC0833">
        <w:trPr>
          <w:trHeight w:val="1272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A94808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C3D5E1B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</w:pPr>
            <w:r w:rsidRPr="009C66D5">
              <w:t>Отрицательное решение директора Центра, принятое на основании заключени</w:t>
            </w:r>
            <w:r w:rsidRPr="00A471F6">
              <w:rPr>
                <w:color w:val="388600"/>
              </w:rPr>
              <w:t>я</w:t>
            </w:r>
            <w:r w:rsidRPr="009C66D5">
              <w:t>:</w:t>
            </w:r>
          </w:p>
          <w:p w14:paraId="69500DBE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</w:pPr>
            <w:r w:rsidRPr="009C66D5">
              <w:t>- специалиста финансово-экономического отдела /</w:t>
            </w:r>
          </w:p>
          <w:p w14:paraId="3F2C2D5B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</w:pPr>
            <w:r w:rsidRPr="009C66D5">
              <w:t>- специалиста по оценке рисков /</w:t>
            </w:r>
          </w:p>
          <w:p w14:paraId="1CD4D527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</w:pPr>
            <w:r w:rsidRPr="009C66D5">
              <w:t>- специалиста юридического отдела.</w:t>
            </w:r>
          </w:p>
          <w:p w14:paraId="2C01EB85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</w:pPr>
          </w:p>
        </w:tc>
      </w:tr>
      <w:tr w:rsidR="00C40E57" w:rsidRPr="009C66D5" w14:paraId="67B46018" w14:textId="77777777" w:rsidTr="00BC0833">
        <w:trPr>
          <w:trHeight w:val="688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07F711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</w:rPr>
            </w:pPr>
            <w:r w:rsidRPr="009C66D5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99E0FC8" w14:textId="77777777" w:rsidR="00C40E57" w:rsidRPr="009C66D5" w:rsidRDefault="00C40E57" w:rsidP="00BC0833">
            <w:pPr>
              <w:tabs>
                <w:tab w:val="left" w:pos="0"/>
                <w:tab w:val="left" w:pos="6690"/>
              </w:tabs>
              <w:jc w:val="both"/>
            </w:pPr>
            <w:r w:rsidRPr="009C66D5">
              <w:t xml:space="preserve">По поручительствам в соответствии с подпунктом «а» </w:t>
            </w:r>
            <w:r w:rsidRPr="004B7EC6">
              <w:rPr>
                <w:color w:val="00B050"/>
              </w:rPr>
              <w:t xml:space="preserve">п. 1.8.1. </w:t>
            </w:r>
            <w:r w:rsidRPr="009C66D5">
              <w:t xml:space="preserve">настоящего Регламента, наличие у предприятия: </w:t>
            </w:r>
          </w:p>
          <w:p w14:paraId="4FD045DF" w14:textId="77777777" w:rsidR="00C40E57" w:rsidRPr="009C66D5" w:rsidRDefault="00C40E57" w:rsidP="00BC0833">
            <w:pPr>
              <w:tabs>
                <w:tab w:val="left" w:pos="0"/>
                <w:tab w:val="left" w:pos="6690"/>
              </w:tabs>
              <w:ind w:left="318" w:hanging="318"/>
              <w:jc w:val="both"/>
            </w:pPr>
            <w:r w:rsidRPr="009C66D5">
              <w:t>-</w:t>
            </w:r>
            <w:r w:rsidRPr="009C66D5">
              <w:tab/>
              <w:t>срока деятельности менее 2 (Двух) лет;</w:t>
            </w:r>
          </w:p>
          <w:p w14:paraId="04154A2A" w14:textId="77777777" w:rsidR="00C40E57" w:rsidRPr="009C66D5" w:rsidRDefault="00C40E57" w:rsidP="00BC0833">
            <w:pPr>
              <w:tabs>
                <w:tab w:val="left" w:pos="0"/>
                <w:tab w:val="left" w:pos="6690"/>
              </w:tabs>
              <w:ind w:left="318" w:hanging="318"/>
              <w:jc w:val="both"/>
            </w:pPr>
            <w:r w:rsidRPr="009C66D5">
              <w:t>-</w:t>
            </w:r>
            <w:r w:rsidRPr="009C66D5">
              <w:tab/>
              <w:t>финансового состояния по оценке Банка ниже хорошего;</w:t>
            </w:r>
          </w:p>
          <w:p w14:paraId="3FCAF20B" w14:textId="77777777" w:rsidR="00C40E57" w:rsidRPr="009C66D5" w:rsidRDefault="00C40E57" w:rsidP="00BC0833">
            <w:pPr>
              <w:tabs>
                <w:tab w:val="left" w:pos="0"/>
                <w:tab w:val="left" w:pos="567"/>
              </w:tabs>
              <w:ind w:left="318" w:hanging="318"/>
              <w:jc w:val="both"/>
            </w:pPr>
            <w:r w:rsidRPr="009C66D5">
              <w:t>-</w:t>
            </w:r>
            <w:r w:rsidRPr="009C66D5">
              <w:tab/>
              <w:t>оценки Центра и присвоения итогового рейтинга ниже первого за последний годовой отчетный период.</w:t>
            </w:r>
          </w:p>
        </w:tc>
      </w:tr>
      <w:tr w:rsidR="00C40E57" w:rsidRPr="009C66D5" w14:paraId="6613AA10" w14:textId="77777777" w:rsidTr="00BC0833">
        <w:trPr>
          <w:trHeight w:val="1832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D7593B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986DE1D" w14:textId="77777777" w:rsidR="00C40E57" w:rsidRPr="009C66D5" w:rsidRDefault="00C40E57" w:rsidP="00BC0833">
            <w:pPr>
              <w:tabs>
                <w:tab w:val="left" w:pos="315"/>
                <w:tab w:val="left" w:pos="6690"/>
              </w:tabs>
              <w:jc w:val="both"/>
            </w:pPr>
            <w:bookmarkStart w:id="9" w:name="_Hlk88755772"/>
            <w:r w:rsidRPr="009C66D5">
              <w:t xml:space="preserve">По поручительствам в соответствии с подпунктом «б» </w:t>
            </w:r>
            <w:r w:rsidRPr="004B7EC6">
              <w:rPr>
                <w:color w:val="00B050"/>
              </w:rPr>
              <w:t xml:space="preserve">п. 1.8.1. </w:t>
            </w:r>
            <w:r w:rsidRPr="009C66D5">
              <w:t>настоящего Регламента, наличие у предприятия:</w:t>
            </w:r>
          </w:p>
          <w:p w14:paraId="6603C26B" w14:textId="77777777" w:rsidR="00C40E57" w:rsidRPr="009C66D5" w:rsidRDefault="00C40E57" w:rsidP="00BC0833">
            <w:pPr>
              <w:tabs>
                <w:tab w:val="left" w:pos="315"/>
                <w:tab w:val="left" w:pos="6690"/>
              </w:tabs>
              <w:jc w:val="both"/>
            </w:pPr>
            <w:r w:rsidRPr="009C66D5">
              <w:t>-</w:t>
            </w:r>
            <w:r w:rsidRPr="009C66D5">
              <w:tab/>
              <w:t>срока деятельности менее 2 (Двух) лет;</w:t>
            </w:r>
          </w:p>
          <w:p w14:paraId="39467271" w14:textId="77777777" w:rsidR="00C40E57" w:rsidRPr="009C66D5" w:rsidRDefault="00C40E57" w:rsidP="00BC0833">
            <w:pPr>
              <w:tabs>
                <w:tab w:val="left" w:pos="315"/>
                <w:tab w:val="left" w:pos="6690"/>
              </w:tabs>
              <w:jc w:val="both"/>
            </w:pPr>
            <w:r w:rsidRPr="009C66D5">
              <w:t>-</w:t>
            </w:r>
            <w:r w:rsidRPr="009C66D5">
              <w:tab/>
              <w:t>финансового состояния по оценке Банка ниже среднего;</w:t>
            </w:r>
          </w:p>
          <w:p w14:paraId="5EA11E48" w14:textId="77777777" w:rsidR="00C40E57" w:rsidRPr="009C66D5" w:rsidRDefault="00C40E57" w:rsidP="00BC0833">
            <w:pPr>
              <w:tabs>
                <w:tab w:val="left" w:pos="315"/>
              </w:tabs>
              <w:ind w:left="315" w:hanging="315"/>
              <w:jc w:val="both"/>
            </w:pPr>
            <w:r w:rsidRPr="009C66D5">
              <w:t>-</w:t>
            </w:r>
            <w:r w:rsidRPr="009C66D5">
              <w:tab/>
              <w:t>оценки Центра и присвоения итогового рейтинга ниже второго за последний годовой отчетный период.</w:t>
            </w:r>
            <w:bookmarkEnd w:id="9"/>
          </w:p>
        </w:tc>
      </w:tr>
      <w:tr w:rsidR="00C40E57" w:rsidRPr="009C66D5" w14:paraId="4D213C5D" w14:textId="77777777" w:rsidTr="00BC0833">
        <w:trPr>
          <w:trHeight w:val="1262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B7015F6" w14:textId="77777777" w:rsidR="00C40E57" w:rsidRPr="009C66D5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lang w:val="en-US"/>
              </w:rPr>
            </w:pPr>
            <w:r w:rsidRPr="009C66D5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607324B" w14:textId="77777777" w:rsidR="00C40E57" w:rsidRPr="009C66D5" w:rsidRDefault="00C40E57" w:rsidP="00BC0833">
            <w:pPr>
              <w:tabs>
                <w:tab w:val="left" w:pos="315"/>
                <w:tab w:val="left" w:pos="6690"/>
              </w:tabs>
              <w:jc w:val="both"/>
            </w:pPr>
            <w:r w:rsidRPr="009C66D5">
              <w:t xml:space="preserve">Наличие в отношении Заемщика незаконченных исполнительных производств в объемах более 20 % капитала Заемщика. В случае вхождения Заемщика в ГСК, рассматривается наличие незаконченных исполнительных производств ГСК в объемах более 20 % всего капитала ГСК.  </w:t>
            </w:r>
          </w:p>
        </w:tc>
      </w:tr>
      <w:tr w:rsidR="00C40E57" w:rsidRPr="00AF225F" w14:paraId="4746F9AA" w14:textId="77777777" w:rsidTr="00BC0833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A2D1" w14:textId="77777777" w:rsidR="00C40E57" w:rsidRPr="00AF225F" w:rsidRDefault="00C40E57" w:rsidP="00BC0833">
            <w:pPr>
              <w:jc w:val="center"/>
              <w:rPr>
                <w:b/>
                <w:color w:val="000000" w:themeColor="text1"/>
              </w:rPr>
            </w:pPr>
            <w:bookmarkStart w:id="10" w:name="_Hlk141117663"/>
            <w:bookmarkStart w:id="11" w:name="_Hlk139614739"/>
          </w:p>
          <w:p w14:paraId="4C13D609" w14:textId="77777777" w:rsidR="00C40E57" w:rsidRPr="00AF225F" w:rsidRDefault="00C40E57" w:rsidP="00BC0833">
            <w:pPr>
              <w:jc w:val="center"/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>№</w:t>
            </w:r>
          </w:p>
        </w:tc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F442" w14:textId="77777777" w:rsidR="00C40E57" w:rsidRPr="00AF225F" w:rsidRDefault="00C40E57" w:rsidP="00BC0833">
            <w:pPr>
              <w:jc w:val="center"/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 xml:space="preserve"> </w:t>
            </w:r>
          </w:p>
          <w:p w14:paraId="15D54B6A" w14:textId="77777777" w:rsidR="00C40E57" w:rsidRPr="00AF225F" w:rsidRDefault="00C40E57" w:rsidP="00BC0833">
            <w:pPr>
              <w:jc w:val="center"/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>Факторы,</w:t>
            </w:r>
            <w:r w:rsidRPr="00AF225F">
              <w:rPr>
                <w:color w:val="000000" w:themeColor="text1"/>
              </w:rPr>
              <w:t xml:space="preserve"> </w:t>
            </w:r>
            <w:r w:rsidRPr="00AF225F">
              <w:rPr>
                <w:b/>
                <w:color w:val="000000" w:themeColor="text1"/>
              </w:rPr>
              <w:t>препятствующие заключению договора поручительства Центра</w:t>
            </w:r>
          </w:p>
          <w:p w14:paraId="32BAE744" w14:textId="77777777" w:rsidR="00C40E57" w:rsidRPr="00AF225F" w:rsidRDefault="00C40E57" w:rsidP="00BC083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40E57" w:rsidRPr="00AF225F" w14:paraId="455ADA78" w14:textId="77777777" w:rsidTr="00BC0833">
        <w:trPr>
          <w:trHeight w:val="699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E4C00F" w14:textId="77777777" w:rsidR="00C40E57" w:rsidRPr="00AF225F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>1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AA8B5FF" w14:textId="77777777" w:rsidR="00C40E57" w:rsidRPr="00AF225F" w:rsidRDefault="00C40E57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AF225F">
              <w:rPr>
                <w:color w:val="000000" w:themeColor="text1"/>
              </w:rPr>
              <w:t xml:space="preserve">Отсутствие Заемщика в Едином реестре субъектов малого и среднего предпринимательства (сайт Федеральной налоговой службы  </w:t>
            </w:r>
            <w:hyperlink r:id="rId8" w:history="1">
              <w:r w:rsidRPr="00AF225F">
                <w:rPr>
                  <w:color w:val="000000" w:themeColor="text1"/>
                  <w:u w:val="single"/>
                </w:rPr>
                <w:t>https://rmsp.nalog.ru/</w:t>
              </w:r>
            </w:hyperlink>
            <w:r w:rsidRPr="00AF225F">
              <w:rPr>
                <w:color w:val="000000" w:themeColor="text1"/>
              </w:rPr>
              <w:t xml:space="preserve">) </w:t>
            </w:r>
          </w:p>
        </w:tc>
      </w:tr>
      <w:tr w:rsidR="00C40E57" w:rsidRPr="00AF225F" w14:paraId="0FEE3B51" w14:textId="77777777" w:rsidTr="00BC0833">
        <w:trPr>
          <w:trHeight w:val="712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7BF779" w14:textId="77777777" w:rsidR="00C40E57" w:rsidRPr="00AF225F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>2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3D1BA8B" w14:textId="77777777" w:rsidR="00C40E57" w:rsidRPr="00AF225F" w:rsidRDefault="00C40E57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AF225F">
              <w:rPr>
                <w:color w:val="000000" w:themeColor="text1"/>
              </w:rPr>
              <w:t>Заемщик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bookmarkEnd w:id="10"/>
      <w:tr w:rsidR="00C40E57" w:rsidRPr="00AF225F" w14:paraId="7A00AFB1" w14:textId="77777777" w:rsidTr="00BC0833">
        <w:trPr>
          <w:trHeight w:val="712"/>
        </w:trPr>
        <w:tc>
          <w:tcPr>
            <w:tcW w:w="6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665D94" w14:textId="77777777" w:rsidR="00C40E57" w:rsidRPr="00AF225F" w:rsidRDefault="00C40E57" w:rsidP="00BC08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</w:rPr>
            </w:pPr>
            <w:r w:rsidRPr="00AF225F">
              <w:rPr>
                <w:b/>
                <w:color w:val="000000" w:themeColor="text1"/>
              </w:rPr>
              <w:t>3</w:t>
            </w:r>
          </w:p>
        </w:tc>
        <w:tc>
          <w:tcPr>
            <w:tcW w:w="93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20D7BA" w14:textId="77777777" w:rsidR="00C40E57" w:rsidRPr="00AF225F" w:rsidRDefault="00C40E57" w:rsidP="00BC08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AF225F">
              <w:rPr>
                <w:color w:val="000000" w:themeColor="text1"/>
              </w:rPr>
              <w:t>Заемщик имеет по состоянию на любую дату в течение периода, равного 30 календарным дням, предшествующего дате заключения договора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тысяч рублей</w:t>
            </w:r>
            <w:r w:rsidRPr="00AF225F">
              <w:rPr>
                <w:rStyle w:val="a4"/>
                <w:color w:val="000000" w:themeColor="text1"/>
              </w:rPr>
              <w:footnoteReference w:id="4"/>
            </w:r>
          </w:p>
        </w:tc>
      </w:tr>
      <w:bookmarkEnd w:id="11"/>
    </w:tbl>
    <w:p w14:paraId="2C632091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1946" w14:textId="77777777" w:rsidR="007702F4" w:rsidRDefault="007702F4" w:rsidP="00C40E57">
      <w:r>
        <w:separator/>
      </w:r>
    </w:p>
  </w:endnote>
  <w:endnote w:type="continuationSeparator" w:id="0">
    <w:p w14:paraId="5117A71F" w14:textId="77777777" w:rsidR="007702F4" w:rsidRDefault="007702F4" w:rsidP="00C4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0932" w14:textId="77777777" w:rsidR="007702F4" w:rsidRDefault="007702F4" w:rsidP="00C40E57">
      <w:r>
        <w:separator/>
      </w:r>
    </w:p>
  </w:footnote>
  <w:footnote w:type="continuationSeparator" w:id="0">
    <w:p w14:paraId="5A649590" w14:textId="77777777" w:rsidR="007702F4" w:rsidRDefault="007702F4" w:rsidP="00C40E57">
      <w:r>
        <w:continuationSeparator/>
      </w:r>
    </w:p>
  </w:footnote>
  <w:footnote w:id="1">
    <w:p w14:paraId="07611131" w14:textId="77777777" w:rsidR="00C40E57" w:rsidRPr="00164838" w:rsidRDefault="00C40E57" w:rsidP="00C40E57">
      <w:pPr>
        <w:pStyle w:val="a5"/>
        <w:rPr>
          <w:color w:val="000000" w:themeColor="text1"/>
        </w:rPr>
      </w:pPr>
      <w:r w:rsidRPr="009264C8">
        <w:rPr>
          <w:rStyle w:val="a4"/>
          <w:color w:val="auto"/>
        </w:rPr>
        <w:footnoteRef/>
      </w:r>
      <w:r w:rsidRPr="009264C8">
        <w:rPr>
          <w:color w:val="auto"/>
        </w:rPr>
        <w:t xml:space="preserve"> </w:t>
      </w:r>
      <w:bookmarkStart w:id="3" w:name="_Hlk139290660"/>
      <w:r w:rsidRPr="009264C8">
        <w:rPr>
          <w:color w:val="auto"/>
        </w:rPr>
        <w:t xml:space="preserve">- </w:t>
      </w:r>
      <w:bookmarkStart w:id="4" w:name="_Hlk141119432"/>
      <w:r w:rsidRPr="009264C8">
        <w:rPr>
          <w:color w:val="auto"/>
        </w:rPr>
        <w:t xml:space="preserve">понимается поддержка субъектов малого и среднего предпринимательства органами государственной власти и </w:t>
      </w:r>
      <w:r w:rsidRPr="00164838">
        <w:rPr>
          <w:color w:val="000000" w:themeColor="text1"/>
        </w:rPr>
        <w:t>органами местного самоуправления, а также Корпорацией развития малого и среднего предпринимательства, ее дочерними обществами</w:t>
      </w:r>
      <w:bookmarkEnd w:id="3"/>
      <w:bookmarkEnd w:id="4"/>
    </w:p>
  </w:footnote>
  <w:footnote w:id="2">
    <w:p w14:paraId="31DD29E4" w14:textId="77777777" w:rsidR="00C40E57" w:rsidRPr="00164838" w:rsidRDefault="00C40E57" w:rsidP="00C40E57">
      <w:pPr>
        <w:pStyle w:val="a5"/>
        <w:jc w:val="both"/>
        <w:rPr>
          <w:color w:val="000000" w:themeColor="text1"/>
        </w:rPr>
      </w:pPr>
      <w:r w:rsidRPr="00164838">
        <w:rPr>
          <w:rStyle w:val="a4"/>
          <w:color w:val="000000" w:themeColor="text1"/>
        </w:rPr>
        <w:footnoteRef/>
      </w:r>
      <w:bookmarkStart w:id="5" w:name="_Hlk152680839"/>
      <w:r w:rsidRPr="00164838">
        <w:rPr>
          <w:color w:val="000000" w:themeColor="text1"/>
        </w:rPr>
        <w:t xml:space="preserve"> - при введении режима повышенной готовности или режима чрезвычайной ситуации на территории Вологодской области у субъектов малого и среднего предпринимательства, получающих поддержку, источником софинансирования которой является субсидия,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</w:p>
    <w:bookmarkEnd w:id="5"/>
    <w:p w14:paraId="0C9CE64D" w14:textId="77777777" w:rsidR="00C40E57" w:rsidRDefault="00C40E57" w:rsidP="00C40E57">
      <w:pPr>
        <w:pStyle w:val="a5"/>
      </w:pPr>
    </w:p>
  </w:footnote>
  <w:footnote w:id="3">
    <w:p w14:paraId="7A3BBC9C" w14:textId="77777777" w:rsidR="00C40E57" w:rsidRPr="00CC26C8" w:rsidRDefault="00C40E57" w:rsidP="00C40E57">
      <w:pPr>
        <w:pStyle w:val="a5"/>
        <w:jc w:val="both"/>
        <w:rPr>
          <w:color w:val="000000" w:themeColor="text1"/>
        </w:rPr>
      </w:pPr>
      <w:r w:rsidRPr="00CC26C8">
        <w:rPr>
          <w:rStyle w:val="a4"/>
          <w:color w:val="000000" w:themeColor="text1"/>
        </w:rPr>
        <w:footnoteRef/>
      </w:r>
      <w:r w:rsidRPr="00CC26C8">
        <w:rPr>
          <w:color w:val="000000" w:themeColor="text1"/>
        </w:rPr>
        <w:t xml:space="preserve"> </w:t>
      </w:r>
      <w:bookmarkStart w:id="6" w:name="_Hlk120208864"/>
      <w:r w:rsidRPr="00CC26C8">
        <w:rPr>
          <w:color w:val="000000" w:themeColor="text1"/>
        </w:rPr>
        <w:t>Кредитная история признается Центром отрицательной в следующих случаях:</w:t>
      </w:r>
    </w:p>
    <w:p w14:paraId="60BFA60E" w14:textId="77777777" w:rsidR="00C40E57" w:rsidRPr="00CC26C8" w:rsidRDefault="00C40E57" w:rsidP="00C40E57">
      <w:pPr>
        <w:pStyle w:val="a5"/>
        <w:ind w:firstLine="708"/>
        <w:jc w:val="both"/>
        <w:rPr>
          <w:color w:val="000000" w:themeColor="text1"/>
        </w:rPr>
      </w:pPr>
      <w:r w:rsidRPr="00CC26C8">
        <w:rPr>
          <w:color w:val="000000" w:themeColor="text1"/>
        </w:rPr>
        <w:t xml:space="preserve">- Заемщик - </w:t>
      </w:r>
      <w:proofErr w:type="gramStart"/>
      <w:r w:rsidRPr="00CC26C8">
        <w:rPr>
          <w:color w:val="000000" w:themeColor="text1"/>
        </w:rPr>
        <w:t>юридическое  лицо</w:t>
      </w:r>
      <w:proofErr w:type="gramEnd"/>
      <w:r w:rsidRPr="00CC26C8">
        <w:rPr>
          <w:color w:val="000000" w:themeColor="text1"/>
        </w:rPr>
        <w:t xml:space="preserve"> за последние 360 дней, предшествующих дате подачи заявки в Центр, допустил просрочки оплаты более 29 (Двадцати девяти) дней по кредитным договорам, договорам займа и  лизинга в совокупности,</w:t>
      </w:r>
    </w:p>
    <w:p w14:paraId="33524AD1" w14:textId="77777777" w:rsidR="00C40E57" w:rsidRPr="00CC26C8" w:rsidRDefault="00C40E57" w:rsidP="00C40E57">
      <w:pPr>
        <w:pStyle w:val="a5"/>
        <w:ind w:firstLine="708"/>
        <w:jc w:val="both"/>
        <w:rPr>
          <w:color w:val="000000" w:themeColor="text1"/>
        </w:rPr>
      </w:pPr>
      <w:r w:rsidRPr="00CC26C8">
        <w:rPr>
          <w:color w:val="000000" w:themeColor="text1"/>
        </w:rPr>
        <w:t xml:space="preserve">- Заемщик – индивидуальный предприниматель / </w:t>
      </w:r>
      <w:proofErr w:type="gramStart"/>
      <w:r w:rsidRPr="00CC26C8">
        <w:rPr>
          <w:color w:val="000000" w:themeColor="text1"/>
        </w:rPr>
        <w:t>Конечный  бенефициар</w:t>
      </w:r>
      <w:proofErr w:type="gramEnd"/>
      <w:r w:rsidRPr="00CC26C8">
        <w:rPr>
          <w:color w:val="000000" w:themeColor="text1"/>
        </w:rPr>
        <w:t xml:space="preserve"> за последние 180 дней, предшествующих дате подаче заявки в Центр, допустил просрочки оплаты более 29 (Двадцати девяти) дней  по кредитным договорам, договорам займа и лизинга в совокупности.</w:t>
      </w:r>
    </w:p>
    <w:p w14:paraId="770D04B2" w14:textId="77777777" w:rsidR="00C40E57" w:rsidRPr="00CC26C8" w:rsidRDefault="00C40E57" w:rsidP="00C40E57">
      <w:pPr>
        <w:pStyle w:val="a5"/>
        <w:ind w:firstLine="708"/>
        <w:jc w:val="both"/>
        <w:rPr>
          <w:color w:val="000000" w:themeColor="text1"/>
        </w:rPr>
      </w:pPr>
      <w:r w:rsidRPr="00CC26C8">
        <w:rPr>
          <w:color w:val="000000" w:themeColor="text1"/>
        </w:rPr>
        <w:t>В иных случаях кредитная история рассматривается как положительная.</w:t>
      </w:r>
    </w:p>
    <w:p w14:paraId="497A1986" w14:textId="77777777" w:rsidR="00C40E57" w:rsidRPr="00D913B4" w:rsidRDefault="00C40E57" w:rsidP="00C40E57">
      <w:pPr>
        <w:pStyle w:val="a5"/>
        <w:ind w:firstLine="708"/>
      </w:pPr>
      <w:r w:rsidRPr="00CC26C8">
        <w:rPr>
          <w:color w:val="000000" w:themeColor="text1"/>
        </w:rPr>
        <w:t>Информацию о просроченных платежах по кредитным договорам, договорам займов и лизинга Центр получает из базы бюро кредитных историй. Центр вправе запросить у Заемщика, Бенефициара уточняющую информацию по просроченной задолженности.</w:t>
      </w:r>
      <w:bookmarkEnd w:id="6"/>
    </w:p>
  </w:footnote>
  <w:footnote w:id="4">
    <w:p w14:paraId="6C320311" w14:textId="77777777" w:rsidR="00C40E57" w:rsidRDefault="00C40E57" w:rsidP="00C40E57">
      <w:pPr>
        <w:pStyle w:val="a5"/>
        <w:jc w:val="both"/>
      </w:pPr>
      <w:r w:rsidRPr="00164838">
        <w:rPr>
          <w:rStyle w:val="a4"/>
          <w:color w:val="000000" w:themeColor="text1"/>
        </w:rPr>
        <w:footnoteRef/>
      </w:r>
      <w:r w:rsidRPr="00164838">
        <w:rPr>
          <w:color w:val="000000" w:themeColor="text1"/>
        </w:rPr>
        <w:t xml:space="preserve"> - при введении режима повышенной готовности или режима чрезвычайной ситуации на территории Вологодской области у субъектов малого и среднего предпринимательства, получающих поддержку, источником софинансирования которой является субсидия,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33"/>
    <w:rsid w:val="000838D6"/>
    <w:rsid w:val="007702F4"/>
    <w:rsid w:val="00B62562"/>
    <w:rsid w:val="00C40E57"/>
    <w:rsid w:val="00E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CFEF2-64DC-4A7C-8D33-16A46F3C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40E5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40E57"/>
    <w:rPr>
      <w:rFonts w:ascii="Times New Roman" w:hAnsi="Times New Roman"/>
      <w:sz w:val="24"/>
    </w:rPr>
  </w:style>
  <w:style w:type="paragraph" w:customStyle="1" w:styleId="10">
    <w:name w:val="Гиперссылка1"/>
    <w:link w:val="a3"/>
    <w:rsid w:val="00C40E57"/>
    <w:pPr>
      <w:spacing w:after="0" w:line="240" w:lineRule="auto"/>
    </w:pPr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character" w:styleId="a3">
    <w:name w:val="Hyperlink"/>
    <w:link w:val="10"/>
    <w:rsid w:val="00C40E57"/>
    <w:rPr>
      <w:rFonts w:ascii="Calibri" w:eastAsia="Times New Roman" w:hAnsi="Calibri" w:cs="Times New Roman"/>
      <w:color w:val="0000FF"/>
      <w:kern w:val="0"/>
      <w:sz w:val="20"/>
      <w:szCs w:val="20"/>
      <w:u w:val="single"/>
      <w:lang w:eastAsia="ru-RU"/>
      <w14:ligatures w14:val="none"/>
    </w:rPr>
  </w:style>
  <w:style w:type="paragraph" w:customStyle="1" w:styleId="11">
    <w:name w:val="Знак сноски1"/>
    <w:link w:val="a4"/>
    <w:rsid w:val="00C40E57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vertAlign w:val="superscript"/>
      <w:lang w:eastAsia="ru-RU"/>
      <w14:ligatures w14:val="none"/>
    </w:rPr>
  </w:style>
  <w:style w:type="character" w:styleId="a4">
    <w:name w:val="footnote reference"/>
    <w:link w:val="11"/>
    <w:rsid w:val="00C40E57"/>
    <w:rPr>
      <w:rFonts w:ascii="Calibri" w:eastAsia="Times New Roman" w:hAnsi="Calibri" w:cs="Times New Roman"/>
      <w:color w:val="000000"/>
      <w:kern w:val="0"/>
      <w:sz w:val="20"/>
      <w:szCs w:val="20"/>
      <w:vertAlign w:val="superscript"/>
      <w:lang w:eastAsia="ru-RU"/>
      <w14:ligatures w14:val="none"/>
    </w:rPr>
  </w:style>
  <w:style w:type="paragraph" w:styleId="a5">
    <w:name w:val="footnote text"/>
    <w:basedOn w:val="a"/>
    <w:link w:val="a6"/>
    <w:uiPriority w:val="99"/>
    <w:unhideWhenUsed/>
    <w:rsid w:val="00C40E57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40E57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2024-02-13T10:39:00Z</dcterms:created>
  <dcterms:modified xsi:type="dcterms:W3CDTF">2024-02-13T10:39:00Z</dcterms:modified>
</cp:coreProperties>
</file>