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A0" w:rsidRPr="003A471E" w:rsidRDefault="00502A6D" w:rsidP="00BB7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471E">
        <w:rPr>
          <w:rFonts w:ascii="Times New Roman" w:hAnsi="Times New Roman" w:cs="Times New Roman"/>
          <w:b/>
          <w:sz w:val="28"/>
          <w:szCs w:val="28"/>
        </w:rPr>
        <w:t>Параметры гарантийных продуктов в рамках Федеральн</w:t>
      </w:r>
      <w:r w:rsidR="004D6C32" w:rsidRPr="003A471E">
        <w:rPr>
          <w:rFonts w:ascii="Times New Roman" w:hAnsi="Times New Roman" w:cs="Times New Roman"/>
          <w:b/>
          <w:sz w:val="28"/>
          <w:szCs w:val="28"/>
        </w:rPr>
        <w:t>ых</w:t>
      </w:r>
      <w:r w:rsidRPr="003A471E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4D6C32" w:rsidRPr="003A471E">
        <w:rPr>
          <w:rFonts w:ascii="Times New Roman" w:hAnsi="Times New Roman" w:cs="Times New Roman"/>
          <w:b/>
          <w:sz w:val="28"/>
          <w:szCs w:val="28"/>
        </w:rPr>
        <w:t>ов</w:t>
      </w:r>
      <w:r w:rsidRPr="003A471E">
        <w:rPr>
          <w:rFonts w:ascii="Times New Roman" w:hAnsi="Times New Roman" w:cs="Times New Roman"/>
          <w:b/>
          <w:sz w:val="28"/>
          <w:szCs w:val="28"/>
        </w:rPr>
        <w:t xml:space="preserve"> № 223-</w:t>
      </w:r>
      <w:r w:rsidR="00957E1B" w:rsidRPr="003A471E">
        <w:rPr>
          <w:rFonts w:ascii="Times New Roman" w:hAnsi="Times New Roman" w:cs="Times New Roman"/>
          <w:b/>
          <w:sz w:val="28"/>
          <w:szCs w:val="28"/>
        </w:rPr>
        <w:t>ФЗ</w:t>
      </w:r>
      <w:r w:rsidR="002D365C" w:rsidRPr="003A471E">
        <w:rPr>
          <w:rFonts w:ascii="Times New Roman" w:hAnsi="Times New Roman" w:cs="Times New Roman"/>
          <w:b/>
          <w:sz w:val="28"/>
          <w:szCs w:val="28"/>
        </w:rPr>
        <w:t xml:space="preserve"> и 44-ФЗ</w:t>
      </w: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80"/>
        <w:gridCol w:w="3686"/>
        <w:gridCol w:w="276"/>
        <w:gridCol w:w="3962"/>
        <w:gridCol w:w="3963"/>
      </w:tblGrid>
      <w:tr w:rsidR="006C0B7A" w:rsidRPr="003A471E" w:rsidTr="00444909">
        <w:trPr>
          <w:trHeight w:val="437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C0B7A" w:rsidRPr="003A471E" w:rsidRDefault="006C0B7A" w:rsidP="00571C9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продукта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C0B7A" w:rsidRPr="003A471E" w:rsidRDefault="006C0B7A" w:rsidP="00444909">
            <w:pPr>
              <w:spacing w:after="0" w:line="240" w:lineRule="auto"/>
              <w:ind w:left="136" w:right="136"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1E">
              <w:rPr>
                <w:rFonts w:ascii="Times New Roman" w:hAnsi="Times New Roman" w:cs="Times New Roman"/>
                <w:b/>
                <w:sz w:val="28"/>
                <w:szCs w:val="28"/>
              </w:rPr>
              <w:t>«Тендерная гарантия»</w:t>
            </w:r>
          </w:p>
          <w:p w:rsidR="006C0B7A" w:rsidRPr="003A471E" w:rsidRDefault="006C0B7A" w:rsidP="00444909">
            <w:pPr>
              <w:spacing w:after="0" w:line="240" w:lineRule="auto"/>
              <w:ind w:left="136" w:right="136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3A471E">
              <w:rPr>
                <w:rFonts w:ascii="Times New Roman" w:hAnsi="Times New Roman" w:cs="Times New Roman"/>
                <w:b/>
                <w:sz w:val="28"/>
                <w:szCs w:val="28"/>
              </w:rPr>
              <w:t>№ ПГТ#Х#1.0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0B7A" w:rsidRPr="003A471E" w:rsidRDefault="006C0B7A" w:rsidP="00444909">
            <w:pPr>
              <w:spacing w:after="0" w:line="240" w:lineRule="auto"/>
              <w:ind w:left="136" w:right="136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3A471E">
              <w:rPr>
                <w:rFonts w:ascii="Times New Roman" w:hAnsi="Times New Roman" w:cs="Times New Roman"/>
                <w:b/>
                <w:sz w:val="28"/>
                <w:szCs w:val="28"/>
              </w:rPr>
              <w:t>«Гарантия возврата аванса» № ПГВ#Х#1.0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0B7A" w:rsidRPr="003A471E" w:rsidRDefault="00444909" w:rsidP="00444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1E">
              <w:rPr>
                <w:rFonts w:ascii="Times New Roman" w:hAnsi="Times New Roman" w:cs="Times New Roman"/>
                <w:b/>
                <w:sz w:val="28"/>
                <w:szCs w:val="28"/>
              </w:rPr>
              <w:t>«Гарантия исполнения контракта» № ПГА#Х#1.0</w:t>
            </w:r>
          </w:p>
        </w:tc>
      </w:tr>
      <w:tr w:rsidR="00780D76" w:rsidRPr="003A471E" w:rsidTr="00C60C3B">
        <w:trPr>
          <w:trHeight w:val="437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780D76" w:rsidRPr="003A471E" w:rsidRDefault="00780D76" w:rsidP="00571C9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продукта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780D76" w:rsidRPr="003A471E" w:rsidRDefault="00780D76" w:rsidP="00034E26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обязательств Субъекта МСП по заключению контракта в рамках Федерального закона от 18.07.2011 № 223-ФЗ «О закупках товаров, работ, услуг отдельными видами юридических лиц» (далее – Федеральный закон № 223-ФЗ) </w:t>
            </w:r>
            <w:r w:rsidR="00034E26"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и Федеральным законом от 05.04.2013 N 44-ФЗ «О контрактной системе в сфере закупок товаров, работ, услуг для обеспечения государственных и муниципальных нужд» (далее-44-ФЗ) 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>в случае выигрыша в конкурсе (обеспечение заявки на участие в</w:t>
            </w:r>
            <w:proofErr w:type="gramEnd"/>
            <w:r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закупке).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6F19" w:rsidRPr="003A471E" w:rsidRDefault="00FD6F19" w:rsidP="00F07456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>Обеспечение обязательств Субъекта МСП по возврату авансового платежа по контракту в рамках Федеральн</w:t>
            </w:r>
            <w:r w:rsidR="00034E26" w:rsidRPr="003A471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034E26" w:rsidRPr="003A471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№ 223-ФЗ </w:t>
            </w:r>
            <w:r w:rsidR="00034E26" w:rsidRPr="003A471E">
              <w:rPr>
                <w:rFonts w:ascii="Times New Roman" w:hAnsi="Times New Roman" w:cs="Times New Roman"/>
                <w:sz w:val="28"/>
                <w:szCs w:val="28"/>
              </w:rPr>
              <w:t>и 44-ФЗ</w:t>
            </w:r>
          </w:p>
          <w:p w:rsidR="00F07456" w:rsidRPr="003A471E" w:rsidRDefault="00F07456" w:rsidP="00F07456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456" w:rsidRPr="003A471E" w:rsidRDefault="00F07456" w:rsidP="00F07456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456" w:rsidRPr="003A471E" w:rsidRDefault="00F07456" w:rsidP="00F07456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456" w:rsidRPr="003A471E" w:rsidRDefault="00F07456" w:rsidP="00F07456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456" w:rsidRPr="003A471E" w:rsidRDefault="00F07456" w:rsidP="00F07456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456" w:rsidRPr="003A471E" w:rsidRDefault="00F07456" w:rsidP="00F07456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7DD" w:rsidRPr="003A471E" w:rsidRDefault="00C467DD" w:rsidP="009218F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обязательств Субъекта МСП по контракту в рамк</w:t>
            </w:r>
            <w:r w:rsidR="00905F64" w:rsidRPr="003A471E">
              <w:rPr>
                <w:rFonts w:ascii="Times New Roman" w:hAnsi="Times New Roman" w:cs="Times New Roman"/>
                <w:sz w:val="28"/>
                <w:szCs w:val="28"/>
              </w:rPr>
              <w:t>ах Федеральн</w:t>
            </w:r>
            <w:r w:rsidR="00034E26" w:rsidRPr="003A471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905F64"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034E26" w:rsidRPr="003A471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905F64"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№ 223-ФЗ</w:t>
            </w:r>
            <w:r w:rsidR="00034E26"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и 44-ФЗ</w:t>
            </w:r>
            <w:r w:rsidR="00905F64" w:rsidRPr="003A471E">
              <w:rPr>
                <w:rFonts w:ascii="Times New Roman" w:hAnsi="Times New Roman" w:cs="Times New Roman"/>
                <w:sz w:val="28"/>
                <w:szCs w:val="28"/>
              </w:rPr>
              <w:t>, в том числе гарантийных</w:t>
            </w:r>
          </w:p>
          <w:p w:rsidR="00F07456" w:rsidRPr="003A471E" w:rsidRDefault="00F07456" w:rsidP="009218F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456" w:rsidRPr="003A471E" w:rsidRDefault="00F07456" w:rsidP="009218F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456" w:rsidRPr="003A471E" w:rsidRDefault="00F07456" w:rsidP="009218F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456" w:rsidRPr="003A471E" w:rsidRDefault="00F07456" w:rsidP="009218F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456" w:rsidRPr="003A471E" w:rsidRDefault="00F07456" w:rsidP="009218F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456" w:rsidRPr="003A471E" w:rsidRDefault="00F07456" w:rsidP="009218F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7DD" w:rsidRPr="003A471E" w:rsidRDefault="00C467DD" w:rsidP="009218F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7FB0" w:rsidRPr="003A471E" w:rsidTr="006C0B7A">
        <w:trPr>
          <w:trHeight w:val="437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E17FB0" w:rsidRPr="003A471E" w:rsidRDefault="00E17FB0" w:rsidP="00571C9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Особенности реализации продукта</w:t>
            </w:r>
          </w:p>
        </w:tc>
        <w:tc>
          <w:tcPr>
            <w:tcW w:w="11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E17FB0" w:rsidRPr="003A471E" w:rsidRDefault="00E17FB0" w:rsidP="006C0C4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A471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471E">
              <w:rPr>
                <w:rFonts w:ascii="Times New Roman" w:hAnsi="Times New Roman" w:cs="Times New Roman"/>
                <w:sz w:val="28"/>
                <w:szCs w:val="28"/>
              </w:rPr>
              <w:t>Субъекта</w:t>
            </w:r>
            <w:proofErr w:type="gramEnd"/>
            <w:r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МСП может быть установлен Гарантийный лимит (</w:t>
            </w:r>
            <w:r w:rsidR="001D5A71" w:rsidRPr="003A47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максимальный </w:t>
            </w:r>
            <w:r w:rsidR="001D5A71" w:rsidRPr="003A471E">
              <w:rPr>
                <w:rFonts w:ascii="Times New Roman" w:hAnsi="Times New Roman"/>
                <w:sz w:val="28"/>
                <w:szCs w:val="28"/>
              </w:rPr>
              <w:t>объем действующих по обязательствам Субъекта МСП Банковских гарантий по продуктам «Тендерная гарантия», «Гарантия возврата аванса», «Гарантия исполнения контракта</w:t>
            </w:r>
            <w:r w:rsidR="001D5A71" w:rsidRPr="003A47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1D5A71" w:rsidRPr="003A471E">
              <w:rPr>
                <w:rFonts w:ascii="Times New Roman" w:hAnsi="Times New Roman"/>
                <w:sz w:val="28"/>
                <w:szCs w:val="28"/>
              </w:rPr>
              <w:t>и иным Гарантийным продуктам, разработанным в рамках Федеральных законов №№ 223-ФЗ и 44-ФЗ, в любой момент времени</w:t>
            </w:r>
            <w:r w:rsidRPr="003A471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BC4E7D" w:rsidRPr="003A4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размере не более </w:t>
            </w:r>
            <w:r w:rsidR="006C0C4F" w:rsidRPr="003A47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C4E7D" w:rsidRPr="003A471E">
              <w:rPr>
                <w:rFonts w:ascii="Times New Roman" w:hAnsi="Times New Roman" w:cs="Times New Roman"/>
                <w:b/>
                <w:sz w:val="28"/>
                <w:szCs w:val="28"/>
              </w:rPr>
              <w:t>00 млн. рублей</w:t>
            </w:r>
            <w:r w:rsidRPr="003A4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6C0C4F" w:rsidRPr="003A471E" w:rsidRDefault="006C0C4F" w:rsidP="001D5A71">
            <w:pPr>
              <w:spacing w:after="0" w:line="240" w:lineRule="auto"/>
              <w:ind w:right="136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C9A" w:rsidRPr="003A471E" w:rsidTr="006C0B7A">
        <w:trPr>
          <w:trHeight w:val="437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71C9A" w:rsidRPr="003A471E" w:rsidRDefault="00571C9A" w:rsidP="00571C9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Вид гарантии</w:t>
            </w:r>
          </w:p>
        </w:tc>
        <w:tc>
          <w:tcPr>
            <w:tcW w:w="11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571C9A" w:rsidRPr="003A471E" w:rsidRDefault="00571C9A" w:rsidP="00963C56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Безотзывная </w:t>
            </w:r>
          </w:p>
        </w:tc>
      </w:tr>
      <w:tr w:rsidR="00571C9A" w:rsidRPr="003A471E" w:rsidTr="006C0B7A">
        <w:trPr>
          <w:trHeight w:val="437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71C9A" w:rsidRPr="003A471E" w:rsidRDefault="003E3A09" w:rsidP="00571C9A">
            <w:pPr>
              <w:suppressAutoHyphens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Принципал</w:t>
            </w:r>
          </w:p>
        </w:tc>
        <w:tc>
          <w:tcPr>
            <w:tcW w:w="11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571C9A" w:rsidRPr="003A471E" w:rsidRDefault="005839F5" w:rsidP="003477A5">
            <w:pPr>
              <w:suppressAutoHyphens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  <w:r w:rsidR="009218FF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571C9A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предприниматели/крестьянск</w:t>
            </w:r>
            <w:r w:rsidR="00790C3C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71C9A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(фермерск</w:t>
            </w:r>
            <w:r w:rsidR="00790C3C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71C9A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хозяйств</w:t>
            </w:r>
            <w:r w:rsidR="00790C3C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71C9A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A5800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потребительские кооперативы – С</w:t>
            </w:r>
            <w:r w:rsidR="00571C9A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убъе</w:t>
            </w:r>
            <w:r w:rsidR="009218FF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кты МСП, 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планирующие заключить</w:t>
            </w:r>
            <w:r w:rsidR="009218FF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</w:t>
            </w:r>
            <w:r w:rsidR="00A22303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в рамках</w:t>
            </w:r>
            <w:r w:rsidR="009218FF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 w:rsidR="003477A5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="009218FF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 w:rsidR="003477A5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571C9A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5E2095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1C9A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223-ФЗ</w:t>
            </w:r>
            <w:r w:rsidR="003477A5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3477A5" w:rsidRPr="003A471E">
              <w:rPr>
                <w:rFonts w:ascii="Times New Roman" w:hAnsi="Times New Roman" w:cs="Times New Roman"/>
                <w:sz w:val="28"/>
                <w:szCs w:val="28"/>
              </w:rPr>
              <w:t>44-ФЗ.</w:t>
            </w:r>
          </w:p>
        </w:tc>
      </w:tr>
      <w:tr w:rsidR="005839F5" w:rsidRPr="003A471E" w:rsidTr="006C0B7A">
        <w:trPr>
          <w:trHeight w:val="437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839F5" w:rsidRPr="003A471E" w:rsidRDefault="005839F5" w:rsidP="006230A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Требования к Принципалу </w:t>
            </w:r>
          </w:p>
        </w:tc>
        <w:tc>
          <w:tcPr>
            <w:tcW w:w="11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E0185" w:rsidRPr="003A471E" w:rsidRDefault="00EA5800" w:rsidP="00F3076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требованиям ст. 4 и 14 </w:t>
            </w:r>
            <w:r w:rsidR="003F10BD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24.07.2007 № 209-ФЗ «О развитии малого и среднего предпринимательства в Российской Федерации».</w:t>
            </w:r>
          </w:p>
          <w:p w:rsidR="00427084" w:rsidRPr="003A471E" w:rsidRDefault="00BF4546" w:rsidP="0042708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</w:t>
            </w:r>
            <w:r w:rsidR="00640F6D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Субъекта МСП</w:t>
            </w:r>
            <w:r w:rsidR="004516AE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налогоплательщика</w:t>
            </w:r>
            <w:r w:rsidR="00640F6D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дату подачи </w:t>
            </w:r>
            <w:r w:rsidR="00AA5A61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заявки на предоставление гарантии (далее 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A5A61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аявка)</w:t>
            </w:r>
            <w:r w:rsidR="00D0406D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7084" w:rsidRPr="003A471E">
              <w:rPr>
                <w:rFonts w:ascii="Times New Roman" w:hAnsi="Times New Roman" w:cs="Times New Roman"/>
                <w:sz w:val="28"/>
                <w:szCs w:val="28"/>
              </w:rPr>
              <w:t>просроченной задолженности по налогам, сборам, пеням</w:t>
            </w:r>
            <w:r w:rsidR="000B6964" w:rsidRPr="003A47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7084"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штрафам</w:t>
            </w:r>
            <w:r w:rsidR="000B6964" w:rsidRPr="003A471E">
              <w:rPr>
                <w:rFonts w:ascii="Times New Roman" w:hAnsi="Times New Roman" w:cs="Times New Roman"/>
                <w:sz w:val="28"/>
                <w:szCs w:val="28"/>
              </w:rPr>
              <w:t>, процентам</w:t>
            </w:r>
            <w:r w:rsidR="00D0406D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541E4" w:rsidRPr="003A471E" w:rsidRDefault="0080168A" w:rsidP="0080168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отношении Субъекта МСП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</w:t>
            </w:r>
            <w:r w:rsidR="00640F6D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убъекта</w:t>
            </w:r>
            <w:r w:rsidR="00640F6D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МСП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подлежит лицензированию)</w:t>
            </w:r>
            <w:r w:rsidR="0083063A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74D4" w:rsidRPr="003A471E" w:rsidRDefault="00C874D4" w:rsidP="00C874D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F6D"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у Субъекта МСП 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>отрицательной кредитной истории (с предоставлением согласия на запрос информации из БКИ)</w:t>
            </w:r>
            <w:r w:rsidR="002B0A47" w:rsidRPr="003A47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0A47" w:rsidRPr="003A471E" w:rsidRDefault="001F6F23" w:rsidP="001F6F2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640F6D"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Субъекта МСП 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в списках недобросовестных заемщиков/поставщиков или компаний, нарушивших свои обязательства по </w:t>
            </w:r>
            <w:proofErr w:type="spellStart"/>
            <w:r w:rsidRPr="003A471E">
              <w:rPr>
                <w:rFonts w:ascii="Times New Roman" w:hAnsi="Times New Roman" w:cs="Times New Roman"/>
                <w:sz w:val="28"/>
                <w:szCs w:val="28"/>
              </w:rPr>
              <w:t>госконтрактам</w:t>
            </w:r>
            <w:proofErr w:type="spellEnd"/>
            <w:r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(факт неисполнения обязательств в установленные сроки/предъявления Бенефициаром требования по банковской гарантии) (проверяется по сайту </w:t>
            </w:r>
            <w:hyperlink r:id="rId9" w:history="1">
              <w:r w:rsidRPr="003A47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www.zakupki.gov.ru</w:t>
              </w:r>
            </w:hyperlink>
            <w:r w:rsidRPr="003A471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B5E1F" w:rsidRPr="003A471E" w:rsidRDefault="00900770" w:rsidP="004B5E1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471E">
              <w:rPr>
                <w:rFonts w:ascii="Times New Roman" w:hAnsi="Times New Roman" w:cs="Times New Roman"/>
                <w:sz w:val="28"/>
                <w:szCs w:val="28"/>
              </w:rPr>
              <w:t>Отсутствие у Субъекта МСП</w:t>
            </w:r>
            <w:r w:rsidR="000B201E"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ответчика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на дату подачи Заявки действующих </w:t>
            </w:r>
            <w:r w:rsidR="000B201E" w:rsidRPr="003A471E">
              <w:rPr>
                <w:rFonts w:ascii="Times New Roman" w:hAnsi="Times New Roman" w:cs="Times New Roman"/>
                <w:sz w:val="28"/>
                <w:szCs w:val="28"/>
              </w:rPr>
              <w:t>судебных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разбирательств с </w:t>
            </w:r>
            <w:r w:rsidR="005766AB" w:rsidRPr="003A471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аказчиками </w:t>
            </w:r>
            <w:r w:rsidR="004B5E1F"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12C35" w:rsidRPr="003A471E">
              <w:rPr>
                <w:rFonts w:ascii="Times New Roman" w:hAnsi="Times New Roman" w:cs="Times New Roman"/>
                <w:sz w:val="28"/>
                <w:szCs w:val="28"/>
              </w:rPr>
              <w:t>/или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налоговыми органами (на сумму более 100 тыс. руб. совокупно), </w:t>
            </w:r>
            <w:r w:rsidR="00B12C35" w:rsidRPr="003A471E">
              <w:rPr>
                <w:rFonts w:ascii="Times New Roman" w:hAnsi="Times New Roman" w:cs="Times New Roman"/>
                <w:sz w:val="28"/>
                <w:szCs w:val="28"/>
              </w:rPr>
              <w:t>в отношении Субъекта МСП отсутствуют неисполненные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исполнительны</w:t>
            </w:r>
            <w:r w:rsidR="00B12C35" w:rsidRPr="003A471E">
              <w:rPr>
                <w:rFonts w:ascii="Times New Roman" w:hAnsi="Times New Roman" w:cs="Times New Roman"/>
                <w:sz w:val="28"/>
                <w:szCs w:val="28"/>
              </w:rPr>
              <w:t>е листы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по искам  </w:t>
            </w:r>
            <w:r w:rsidR="005766AB" w:rsidRPr="003A471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>аказчик</w:t>
            </w:r>
            <w:r w:rsidR="000B201E" w:rsidRPr="003A471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945"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и/или налоговыми органами 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>(на сумму более 100 тыс. руб. совокупно)</w:t>
            </w:r>
            <w:r w:rsidR="003B0CD8"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CD8"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 установлении Гарантийного лимита или выдач</w:t>
            </w:r>
            <w:r w:rsidR="00A126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3B0CD8"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банковской гарантии на сумму </w:t>
            </w:r>
            <w:r w:rsidR="007F6428"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</w:t>
            </w:r>
            <w:proofErr w:type="gramEnd"/>
            <w:r w:rsidR="007F6428"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B0CD8"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25 млн. рублей</w:t>
            </w:r>
            <w:r w:rsidR="007F6428"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включительно</w:t>
            </w:r>
            <w:r w:rsidR="003B0CD8"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2D6F2D" w:rsidRPr="003A471E">
              <w:rPr>
                <w:rStyle w:val="a7"/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footnoteReference w:id="1"/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5E1F"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B74CA6" w:rsidRPr="003A471E" w:rsidRDefault="00624AC9" w:rsidP="007D2DA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Срок государственной регистрации </w:t>
            </w:r>
            <w:r w:rsidR="006C560C" w:rsidRPr="003A47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>убъекта МСП</w:t>
            </w:r>
            <w:r w:rsidR="006C560C"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на дату подачи Заявки</w:t>
            </w:r>
            <w:r w:rsidR="003B0CD8"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6C560C" w:rsidRPr="003A471E">
              <w:rPr>
                <w:rFonts w:ascii="Times New Roman" w:hAnsi="Times New Roman" w:cs="Times New Roman"/>
                <w:sz w:val="28"/>
                <w:szCs w:val="28"/>
              </w:rPr>
              <w:t>менее 6 месяцев</w:t>
            </w:r>
            <w:r w:rsidR="00BB35DE" w:rsidRPr="003A47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83063A" w:rsidRPr="003A471E" w:rsidRDefault="00FA63BA" w:rsidP="00FA63B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Отсутствие отрицательного значения собственного капитала Субъекта МСП (по разделу «Капитал и Резервы» бухгалтерского баланса) на последнюю отчетную дату.</w:t>
            </w:r>
          </w:p>
          <w:p w:rsidR="007F4455" w:rsidRPr="003A471E" w:rsidRDefault="007F4455" w:rsidP="007F445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Положительный опыт исполнения</w:t>
            </w:r>
            <w:r w:rsidR="00AD7EEE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AD7EEE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соисполнения</w:t>
            </w:r>
            <w:proofErr w:type="spellEnd"/>
            <w:r w:rsidR="00AD7EEE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для субподрядчиков)</w:t>
            </w:r>
            <w:r w:rsidR="005A3C88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Субъектом МСП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7A0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качестве исполнителя или субподрядчика) 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контрактов</w:t>
            </w:r>
            <w:r w:rsidR="00AE7DBB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0818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(договоров, соглашений) </w:t>
            </w:r>
            <w:r w:rsidR="00A21E8F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аналогичной области по сопоставимым суммам контрактов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F4455" w:rsidRPr="003A471E" w:rsidRDefault="007F4455" w:rsidP="007F4455">
            <w:pPr>
              <w:pStyle w:val="a3"/>
              <w:spacing w:after="0" w:line="240" w:lineRule="auto"/>
              <w:ind w:left="49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 </w:t>
            </w:r>
            <w:r w:rsidR="00A21E8F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менее 3 контрактов, при этом не 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менее одного исполненного </w:t>
            </w:r>
            <w:r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 установлении Гарантийного лимита или выдач</w:t>
            </w:r>
            <w:r w:rsidR="00A126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банковской гарантии на сумму </w:t>
            </w:r>
            <w:r w:rsidR="008B773C"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до </w:t>
            </w:r>
            <w:r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25 млн. рублей</w:t>
            </w:r>
            <w:r w:rsidR="008B773C"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включительно</w:t>
            </w:r>
            <w:r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21E8F" w:rsidRPr="003A471E" w:rsidRDefault="007F4455" w:rsidP="00093130">
            <w:pPr>
              <w:pStyle w:val="a3"/>
              <w:spacing w:after="0" w:line="240" w:lineRule="auto"/>
              <w:ind w:left="49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 менее 3 исполненных контрактов </w:t>
            </w:r>
            <w:r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 установлении Гарантийного лимита или выдач</w:t>
            </w:r>
            <w:r w:rsidR="00A126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банковской гарантии на сумму более 25 млн. рублей).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21E8F" w:rsidRPr="003A471E" w:rsidRDefault="00A21E8F" w:rsidP="00093130">
            <w:pPr>
              <w:pStyle w:val="a3"/>
              <w:spacing w:after="0" w:line="240" w:lineRule="auto"/>
              <w:ind w:left="49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1E8F" w:rsidRPr="003A471E" w:rsidRDefault="00A21E8F" w:rsidP="00A21E8F">
            <w:pPr>
              <w:pStyle w:val="a3"/>
              <w:spacing w:after="0" w:line="240" w:lineRule="auto"/>
              <w:ind w:left="159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Сопоставимость сумм контрактов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оценивается на основе анализа опыта исполнения Субъектом МСП контрактов (в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и/или в рамках Федерального закона № 223-ФЗ) за последние 12 месяцев или фактический срок деятельности Субъекта МСП (если его фактический срок деятельности менее 12 месяцев).</w:t>
            </w:r>
            <w:proofErr w:type="gramEnd"/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этом размер обеспечиваемого гарантией контракта не может  превышать наибольшую из величин</w:t>
            </w:r>
            <w:r w:rsidR="008D59E2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2"/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21E8F" w:rsidRPr="003A471E" w:rsidRDefault="00A21E8F" w:rsidP="00A21E8F">
            <w:pPr>
              <w:pStyle w:val="a3"/>
              <w:spacing w:after="0" w:line="240" w:lineRule="auto"/>
              <w:ind w:left="443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размер наибольшего по сумме исполненного Субъектом МСП контракта - более чем в 1,5 раза;</w:t>
            </w:r>
          </w:p>
          <w:p w:rsidR="00A21E8F" w:rsidRPr="003A471E" w:rsidRDefault="00A21E8F" w:rsidP="00A21E8F">
            <w:pPr>
              <w:pStyle w:val="a3"/>
              <w:spacing w:after="0" w:line="240" w:lineRule="auto"/>
              <w:ind w:left="496" w:right="136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или</w:t>
            </w:r>
          </w:p>
          <w:p w:rsidR="00FA63BA" w:rsidRPr="003A471E" w:rsidRDefault="00A21E8F" w:rsidP="00A21E8F">
            <w:pPr>
              <w:pStyle w:val="a3"/>
              <w:spacing w:after="0" w:line="240" w:lineRule="auto"/>
              <w:ind w:left="49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совокупной суммы  контрактов, исполненных Субъектом МСП </w:t>
            </w:r>
            <w:proofErr w:type="gramStart"/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последние 12 месяцев.</w:t>
            </w:r>
          </w:p>
        </w:tc>
      </w:tr>
      <w:tr w:rsidR="0048578D" w:rsidRPr="003A471E" w:rsidTr="006C0B7A">
        <w:trPr>
          <w:trHeight w:val="378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48578D" w:rsidRPr="003A471E" w:rsidRDefault="0048578D" w:rsidP="00571C9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Заказчик (Бенефициар)</w:t>
            </w:r>
          </w:p>
        </w:tc>
        <w:tc>
          <w:tcPr>
            <w:tcW w:w="11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D779F" w:rsidRPr="003A471E" w:rsidRDefault="0048578D" w:rsidP="002D779F">
            <w:pPr>
              <w:pStyle w:val="a3"/>
              <w:spacing w:after="0" w:line="240" w:lineRule="auto"/>
              <w:ind w:left="159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 лицо, осуществляющее закупочную деятельность в соответствии с Федеральным законом № 223-ФЗ</w:t>
            </w:r>
            <w:r w:rsidR="00084612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№ 44-ФЗ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7785D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D779F" w:rsidRPr="003A471E" w:rsidRDefault="002D779F" w:rsidP="002D779F">
            <w:pPr>
              <w:pStyle w:val="a3"/>
              <w:spacing w:after="0" w:line="240" w:lineRule="auto"/>
              <w:ind w:left="159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Банковские гарантии предоставляются в пользу Заказчиков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D779F" w:rsidRPr="003A471E" w:rsidRDefault="002D779F" w:rsidP="002D779F">
            <w:pPr>
              <w:pStyle w:val="a3"/>
              <w:spacing w:after="0" w:line="240" w:lineRule="auto"/>
              <w:ind w:left="159" w:right="136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17785D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еречень 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r w:rsidR="0017785D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размещ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 </w:t>
            </w:r>
            <w:r w:rsidRPr="003A471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в сети Интернет</w:t>
            </w:r>
            <w:r w:rsidR="0017785D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сайте АО «МСП Банк» (</w:t>
            </w:r>
            <w:hyperlink r:id="rId10" w:history="1">
              <w:r w:rsidRPr="003A471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Pr="003A471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3A471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mspbank</w:t>
              </w:r>
              <w:proofErr w:type="spellEnd"/>
              <w:r w:rsidRPr="003A471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3A471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17785D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Федерального закона № 223-ФЗ);</w:t>
            </w:r>
          </w:p>
          <w:p w:rsidR="005766AB" w:rsidRPr="003A471E" w:rsidRDefault="002D779F" w:rsidP="002D779F">
            <w:pPr>
              <w:pStyle w:val="a3"/>
              <w:spacing w:after="0" w:line="240" w:lineRule="auto"/>
              <w:ind w:left="159" w:right="136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</w:t>
            </w:r>
            <w:proofErr w:type="gramStart"/>
            <w:r w:rsidRPr="003A471E">
              <w:rPr>
                <w:rFonts w:ascii="Times New Roman" w:hAnsi="Times New Roman" w:cs="Times New Roman"/>
                <w:sz w:val="28"/>
                <w:szCs w:val="28"/>
              </w:rPr>
              <w:t>документация</w:t>
            </w:r>
            <w:proofErr w:type="gramEnd"/>
            <w:r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размещена на </w:t>
            </w:r>
            <w:r w:rsidR="00D061A4"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D061A4"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1A4" w:rsidRPr="003A471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Единой информационной системы в сфере закупок по адресу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3A471E">
                <w:rPr>
                  <w:rFonts w:ascii="Times New Roman" w:eastAsia="Times New Roman" w:hAnsi="Times New Roman"/>
                  <w:kern w:val="1"/>
                  <w:sz w:val="28"/>
                  <w:szCs w:val="28"/>
                  <w:lang w:eastAsia="ru-RU"/>
                </w:rPr>
                <w:t>www.zakupki.gov.ru</w:t>
              </w:r>
            </w:hyperlink>
            <w:r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Федерального закона № 44-ФЗ)</w:t>
            </w:r>
            <w:r w:rsidR="005766AB" w:rsidRPr="003A47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78D" w:rsidRPr="003A471E" w:rsidRDefault="005766AB" w:rsidP="002D779F">
            <w:pPr>
              <w:pStyle w:val="a3"/>
              <w:spacing w:after="0" w:line="240" w:lineRule="auto"/>
              <w:ind w:left="159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которыми Принципал самостоятельно согласовал АО «МСП Банк»  в качестве гаранта</w:t>
            </w:r>
            <w:r w:rsidR="002D779F" w:rsidRPr="003A47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39F5" w:rsidRPr="003A471E" w:rsidTr="006C0B7A">
        <w:trPr>
          <w:trHeight w:val="378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839F5" w:rsidRPr="003A471E" w:rsidRDefault="005839F5" w:rsidP="00571C9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Срок действия гарантии</w:t>
            </w:r>
          </w:p>
        </w:tc>
        <w:tc>
          <w:tcPr>
            <w:tcW w:w="11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5839F5" w:rsidRPr="003A471E" w:rsidRDefault="001C321E" w:rsidP="008D3928">
            <w:pPr>
              <w:pStyle w:val="a3"/>
              <w:spacing w:after="0" w:line="240" w:lineRule="auto"/>
              <w:ind w:left="159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требованиями </w:t>
            </w:r>
            <w:r w:rsidR="00F75B9F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конкурсной документации </w:t>
            </w:r>
            <w:r w:rsidR="007E5C24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и/или контракта</w:t>
            </w:r>
            <w:r w:rsidR="00FF20F3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Субъектом МСП и 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  <w:r w:rsidR="00FF20F3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D22290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(Бенефициар</w:t>
            </w:r>
            <w:r w:rsidR="00FF20F3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D22290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839F5" w:rsidRPr="003A471E" w:rsidTr="006C0B7A">
        <w:trPr>
          <w:trHeight w:val="400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839F5" w:rsidRPr="003A471E" w:rsidRDefault="005839F5" w:rsidP="00571C9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1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5839F5" w:rsidRPr="003A471E" w:rsidRDefault="005839F5" w:rsidP="00571C9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Рубли РФ</w:t>
            </w:r>
          </w:p>
        </w:tc>
      </w:tr>
      <w:tr w:rsidR="005839F5" w:rsidRPr="003A471E" w:rsidTr="006C0B7A">
        <w:trPr>
          <w:trHeight w:val="294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839F5" w:rsidRPr="003A471E" w:rsidRDefault="005839F5" w:rsidP="00571C9A">
            <w:pPr>
              <w:suppressAutoHyphens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Вознаграждение за гарантию</w:t>
            </w:r>
          </w:p>
        </w:tc>
        <w:tc>
          <w:tcPr>
            <w:tcW w:w="11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5839F5" w:rsidRPr="003A471E" w:rsidRDefault="00EC4BB2" w:rsidP="00571C9A">
            <w:pPr>
              <w:suppressAutoHyphens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Устанавливается Уполномоченным органом АО «МСП Банк»</w:t>
            </w:r>
          </w:p>
        </w:tc>
      </w:tr>
      <w:tr w:rsidR="005839F5" w:rsidRPr="003A471E" w:rsidTr="006C0B7A">
        <w:trPr>
          <w:trHeight w:val="412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839F5" w:rsidRPr="003A471E" w:rsidRDefault="005839F5" w:rsidP="00571C9A">
            <w:pPr>
              <w:suppressAutoHyphens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1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5839F5" w:rsidRPr="003A471E" w:rsidRDefault="00570CC0" w:rsidP="003D2EEF">
            <w:pPr>
              <w:suppressAutoHyphens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</w:t>
            </w:r>
            <w:r w:rsidR="0059220B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51AA0" w:rsidRPr="003A471E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3"/>
            </w:r>
            <w:r w:rsidR="008B50FD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Вознаграждение </w:t>
            </w:r>
            <w:r w:rsidR="003D2EEF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B50FD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плачивается </w:t>
            </w:r>
            <w:r w:rsidR="009E5618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выдачи гарантии</w:t>
            </w:r>
            <w:r w:rsidR="00F51AA0" w:rsidRPr="003A471E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4"/>
            </w:r>
            <w:r w:rsidR="008B50FD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839F5" w:rsidRPr="003A471E" w:rsidTr="006C0B7A">
        <w:trPr>
          <w:trHeight w:val="747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839F5" w:rsidRPr="003A471E" w:rsidRDefault="005839F5" w:rsidP="00571C9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Дата начала действия гарантии</w:t>
            </w:r>
          </w:p>
        </w:tc>
        <w:tc>
          <w:tcPr>
            <w:tcW w:w="11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5839F5" w:rsidRPr="003A471E" w:rsidRDefault="005839F5" w:rsidP="00901D23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действия гарантии </w:t>
            </w:r>
            <w:r w:rsidR="008B6F1A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 соответствии с требованиями</w:t>
            </w:r>
            <w:r w:rsidR="003709F8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конкурсной документации</w:t>
            </w:r>
            <w:r w:rsidR="00FF20F3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5C24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и/или контракта</w:t>
            </w:r>
            <w:r w:rsidR="00FF20F3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Субъектом МСП и</w:t>
            </w:r>
            <w:r w:rsidR="008B6F1A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Заказчик</w:t>
            </w:r>
            <w:r w:rsidR="00901D23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8B6F1A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(Бенефициар</w:t>
            </w:r>
            <w:r w:rsidR="00901D23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78574C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839F5" w:rsidRPr="003A471E" w:rsidTr="006C0B7A">
        <w:trPr>
          <w:trHeight w:val="484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839F5" w:rsidRPr="003A471E" w:rsidRDefault="005839F5" w:rsidP="00571C9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1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5839F5" w:rsidRPr="003A471E" w:rsidRDefault="00164F0E" w:rsidP="00FF20F3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требованиями</w:t>
            </w:r>
            <w:r w:rsidR="003709F8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конкурсной документации</w:t>
            </w:r>
            <w:r w:rsidR="007E5C24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и/или контракта между Субъектом МСП и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Заказчик</w:t>
            </w:r>
            <w:r w:rsidR="00FF20F3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(Бенефициар</w:t>
            </w:r>
            <w:r w:rsidR="00FF20F3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60C3B" w:rsidRPr="003A471E" w:rsidTr="00C60C3B">
        <w:trPr>
          <w:trHeight w:val="261"/>
        </w:trPr>
        <w:tc>
          <w:tcPr>
            <w:tcW w:w="29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60C3B" w:rsidRPr="003A471E" w:rsidRDefault="00C60C3B" w:rsidP="00571C9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</w:t>
            </w:r>
          </w:p>
          <w:p w:rsidR="00C60C3B" w:rsidRPr="003A471E" w:rsidRDefault="00C60C3B" w:rsidP="00571C9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0C3B" w:rsidRPr="003A471E" w:rsidRDefault="00C60C3B" w:rsidP="00571C9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0C3B" w:rsidRPr="003A471E" w:rsidRDefault="00C60C3B" w:rsidP="00571C9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0C3B" w:rsidRPr="003A471E" w:rsidRDefault="00C60C3B" w:rsidP="00571C9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0C3B" w:rsidRPr="003A471E" w:rsidRDefault="00C60C3B" w:rsidP="00571C9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0C3B" w:rsidRPr="003A471E" w:rsidRDefault="00C60C3B" w:rsidP="00571C9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0C3B" w:rsidRPr="003A471E" w:rsidRDefault="00C60C3B" w:rsidP="00571C9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0C3B" w:rsidRPr="003A471E" w:rsidRDefault="00C60C3B" w:rsidP="00571C9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0C3B" w:rsidRPr="003A471E" w:rsidRDefault="00C60C3B" w:rsidP="00571C9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0C3B" w:rsidRPr="003A471E" w:rsidRDefault="00C60C3B" w:rsidP="00571C9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0C3B" w:rsidRPr="003A471E" w:rsidRDefault="00C60C3B" w:rsidP="00571C9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0C3B" w:rsidRPr="003A471E" w:rsidRDefault="00C60C3B" w:rsidP="00571C9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0C3B" w:rsidRPr="003A471E" w:rsidRDefault="00C60C3B" w:rsidP="00571C9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0C3B" w:rsidRPr="003A471E" w:rsidRDefault="00C60C3B" w:rsidP="00571C9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0C3B" w:rsidRPr="003A471E" w:rsidRDefault="00C60C3B" w:rsidP="00571C9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0C3B" w:rsidRPr="003A471E" w:rsidRDefault="00C60C3B" w:rsidP="00571C9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60C3B" w:rsidRPr="003A471E" w:rsidRDefault="00C60C3B" w:rsidP="00C60C3B">
            <w:pPr>
              <w:suppressAutoHyphens/>
              <w:spacing w:after="0" w:line="240" w:lineRule="auto"/>
              <w:ind w:left="139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При размере гарантии </w:t>
            </w:r>
            <w:r w:rsidRPr="003A47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до </w:t>
            </w:r>
            <w:r w:rsidR="002E2E73" w:rsidRPr="003A47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10</w:t>
            </w:r>
            <w:r w:rsidRPr="003A47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млн.</w:t>
            </w:r>
            <w:r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A47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рублей</w:t>
            </w:r>
            <w:r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(включительно) – 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обеспечения.</w:t>
            </w:r>
          </w:p>
          <w:p w:rsidR="00C60C3B" w:rsidRPr="003A471E" w:rsidRDefault="00C60C3B" w:rsidP="00C60C3B">
            <w:pPr>
              <w:suppressAutoHyphens/>
              <w:spacing w:after="0" w:line="240" w:lineRule="auto"/>
              <w:ind w:left="139" w:right="138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0C3B" w:rsidRPr="003A471E" w:rsidRDefault="00DE5B27" w:rsidP="00C60C3B">
            <w:pPr>
              <w:suppressAutoHyphens/>
              <w:spacing w:after="0" w:line="240" w:lineRule="auto"/>
              <w:ind w:left="139" w:right="138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 размере гарантии </w:t>
            </w:r>
            <w:r w:rsidRPr="003A47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="00C60C3B" w:rsidRPr="003A47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 </w:t>
            </w:r>
            <w:r w:rsidR="0037447F" w:rsidRPr="003A47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10</w:t>
            </w:r>
            <w:r w:rsidR="00C60C3B" w:rsidRPr="003A47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до </w:t>
            </w:r>
            <w:r w:rsidR="000B29DA" w:rsidRPr="003A47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</w:t>
            </w:r>
            <w:r w:rsidR="00C60C3B" w:rsidRPr="003A47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 млн. рублей</w:t>
            </w:r>
            <w:r w:rsidR="00C60C3B"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C60C3B" w:rsidRPr="003A471E" w:rsidRDefault="000B29DA" w:rsidP="00C60C3B">
            <w:pPr>
              <w:suppressAutoHyphens/>
              <w:spacing w:after="0" w:line="240" w:lineRule="auto"/>
              <w:ind w:left="139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C60C3B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Поручительство собственников Субъекта МСП (юридических и </w:t>
            </w:r>
            <w:r w:rsidR="00C60C3B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физических лиц), в совокупности контролирующих более 50% уставного капитала Субъекта МСП, </w:t>
            </w:r>
          </w:p>
          <w:p w:rsidR="00C60C3B" w:rsidRPr="003A471E" w:rsidRDefault="00C60C3B" w:rsidP="00C60C3B">
            <w:pPr>
              <w:suppressAutoHyphens/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/или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1E48" w:rsidRPr="003A471E" w:rsidRDefault="00C60C3B" w:rsidP="00313B65">
            <w:pPr>
              <w:suppressAutoHyphens/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поручительство генерального директора (руководителя) Субъекта МСП (не применяется в отношении Субъектов МСП, являющихся ИП) </w:t>
            </w:r>
          </w:p>
          <w:p w:rsidR="00313B65" w:rsidRPr="003A471E" w:rsidRDefault="00C60C3B" w:rsidP="00313B65">
            <w:pPr>
              <w:suppressAutoHyphens/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сумму не менее размера предоставляемой гарант</w:t>
            </w:r>
            <w:proofErr w:type="gramStart"/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АО</w:t>
            </w:r>
            <w:proofErr w:type="gramEnd"/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«МС</w:t>
            </w:r>
            <w:r w:rsidR="00CD1F67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Банк».</w:t>
            </w:r>
          </w:p>
          <w:p w:rsidR="00917FF7" w:rsidRPr="003A471E" w:rsidRDefault="00917FF7" w:rsidP="00313B65">
            <w:pPr>
              <w:suppressAutoHyphens/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FF7" w:rsidRPr="003A471E" w:rsidRDefault="00917FF7" w:rsidP="00917FF7">
            <w:pPr>
              <w:suppressAutoHyphens/>
              <w:spacing w:after="0" w:line="240" w:lineRule="auto"/>
              <w:ind w:left="139" w:right="138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 размере гарантии </w:t>
            </w:r>
            <w:r w:rsidRPr="003A47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  50 млн. рублей</w:t>
            </w:r>
            <w:r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917FF7" w:rsidRPr="003A471E" w:rsidRDefault="00917FF7" w:rsidP="00917FF7">
            <w:pPr>
              <w:suppressAutoHyphens/>
              <w:spacing w:after="0" w:line="240" w:lineRule="auto"/>
              <w:ind w:left="139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Поручительство собственников Субъекта МСП (юридических и физических лиц), в совокупности контролирующих более 50% уставного капитала Субъекта МСП, </w:t>
            </w:r>
          </w:p>
          <w:p w:rsidR="00917FF7" w:rsidRPr="003A471E" w:rsidRDefault="00917FF7" w:rsidP="00917FF7">
            <w:pPr>
              <w:suppressAutoHyphens/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/или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7FF7" w:rsidRPr="003A471E" w:rsidRDefault="00917FF7" w:rsidP="00917FF7">
            <w:pPr>
              <w:suppressAutoHyphens/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поручительство генерального директора (руководителя) Субъекта 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МСП (не применяется в отношении Субъектов МСП, являющихся ИП) </w:t>
            </w:r>
          </w:p>
          <w:p w:rsidR="00917FF7" w:rsidRPr="003A471E" w:rsidRDefault="00917FF7" w:rsidP="00917FF7">
            <w:pPr>
              <w:suppressAutoHyphens/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сумму не менее размера предоставляемой гарант</w:t>
            </w:r>
            <w:proofErr w:type="gramStart"/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АО</w:t>
            </w:r>
            <w:proofErr w:type="gramEnd"/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«МСП Банк».</w:t>
            </w:r>
          </w:p>
          <w:p w:rsidR="00917FF7" w:rsidRPr="003A471E" w:rsidRDefault="00917FF7" w:rsidP="00917FF7">
            <w:pPr>
              <w:suppressAutoHyphens/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3A47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Дополнительное обеспечение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720"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1C6720" w:rsidRPr="003A471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</w:t>
            </w:r>
            <w:r w:rsidR="001C6720" w:rsidRPr="003A471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1C6720" w:rsidRPr="003A471E">
              <w:rPr>
                <w:rFonts w:ascii="Times New Roman" w:hAnsi="Times New Roman" w:cs="Times New Roman"/>
                <w:sz w:val="28"/>
                <w:szCs w:val="28"/>
              </w:rPr>
              <w:t>а АО «МСП Банк»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FF7" w:rsidRPr="003A471E" w:rsidRDefault="00917FF7" w:rsidP="00313B65">
            <w:pPr>
              <w:suppressAutoHyphens/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1215" w:rsidRPr="003A471E" w:rsidRDefault="00511215" w:rsidP="00C60C3B">
            <w:pPr>
              <w:suppressAutoHyphens/>
              <w:spacing w:after="0" w:line="240" w:lineRule="auto"/>
              <w:ind w:left="139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При размере гарантии </w:t>
            </w:r>
            <w:r w:rsidRPr="003A47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 10 млн. рублей</w:t>
            </w:r>
            <w:r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(включительно) – 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обеспечения.</w:t>
            </w:r>
          </w:p>
          <w:p w:rsidR="00511215" w:rsidRPr="003A471E" w:rsidRDefault="00511215" w:rsidP="00C60C3B">
            <w:pPr>
              <w:suppressAutoHyphens/>
              <w:spacing w:after="0" w:line="240" w:lineRule="auto"/>
              <w:ind w:left="139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215" w:rsidRPr="003A471E" w:rsidRDefault="00511215" w:rsidP="00511215">
            <w:pPr>
              <w:suppressAutoHyphens/>
              <w:spacing w:after="0" w:line="240" w:lineRule="auto"/>
              <w:ind w:left="139" w:right="138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 размере гарантии </w:t>
            </w:r>
            <w:r w:rsidRPr="003A47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 10 до 50 млн. рублей</w:t>
            </w:r>
            <w:r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(включительно):</w:t>
            </w:r>
          </w:p>
          <w:p w:rsidR="00C60C3B" w:rsidRPr="003A471E" w:rsidRDefault="00C60C3B" w:rsidP="00C60C3B">
            <w:pPr>
              <w:suppressAutoHyphens/>
              <w:spacing w:after="0" w:line="240" w:lineRule="auto"/>
              <w:ind w:left="139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Поручительство собственников Субъекта МСП (юридических и физических лиц), в совокупности контролирующих более 50% уставного капитала Субъекта МСП, </w:t>
            </w:r>
          </w:p>
          <w:p w:rsidR="00C60C3B" w:rsidRPr="003A471E" w:rsidRDefault="00C60C3B" w:rsidP="00C60C3B">
            <w:pPr>
              <w:suppressAutoHyphens/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/или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1E48" w:rsidRPr="003A471E" w:rsidRDefault="00C60C3B" w:rsidP="00C60C3B">
            <w:pPr>
              <w:suppressAutoHyphens/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поручительство генерального директора (руководителя) Субъекта МСП (не применяется в отношении Субъектов МСП, 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являющихся ИП) </w:t>
            </w:r>
          </w:p>
          <w:p w:rsidR="00C60C3B" w:rsidRPr="003A471E" w:rsidRDefault="00C60C3B" w:rsidP="00C60C3B">
            <w:pPr>
              <w:suppressAutoHyphens/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сумму не менее размера предоставляемой гарант</w:t>
            </w:r>
            <w:proofErr w:type="gramStart"/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АО</w:t>
            </w:r>
            <w:proofErr w:type="gramEnd"/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«МСП Банк».</w:t>
            </w:r>
          </w:p>
          <w:p w:rsidR="000359A0" w:rsidRPr="003A471E" w:rsidRDefault="000359A0" w:rsidP="00C60C3B">
            <w:pPr>
              <w:suppressAutoHyphens/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9A0" w:rsidRPr="003A471E" w:rsidRDefault="000359A0" w:rsidP="003E0EB4">
            <w:pPr>
              <w:suppressAutoHyphens/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 размере гарантии </w:t>
            </w:r>
            <w:r w:rsidRPr="003A47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 50 до 100 млн. рублей</w:t>
            </w:r>
            <w:r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A42DD"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 </w:t>
            </w:r>
            <w:r w:rsidR="003E0EB4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обеспечительный платеж</w:t>
            </w:r>
            <w:r w:rsidR="007A42DD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размере от 10% до </w:t>
            </w:r>
            <w:r w:rsidR="003E0EB4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A42DD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 от суммы гарантии.</w:t>
            </w:r>
          </w:p>
          <w:p w:rsidR="00A42E66" w:rsidRPr="003A471E" w:rsidRDefault="003D2EEF" w:rsidP="003E0EB4">
            <w:pPr>
              <w:suppressAutoHyphens/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</w:p>
          <w:p w:rsidR="003D2EEF" w:rsidRPr="003A471E" w:rsidRDefault="003D2EEF" w:rsidP="003D2EEF">
            <w:pPr>
              <w:suppressAutoHyphens/>
              <w:spacing w:after="0" w:line="240" w:lineRule="auto"/>
              <w:ind w:left="139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Поручительство собственников Субъекта МСП (юридических и физических лиц), в совокупности контролирующих более 50% уставного капитала Субъекта МСП, </w:t>
            </w:r>
          </w:p>
          <w:p w:rsidR="003D2EEF" w:rsidRPr="003A471E" w:rsidRDefault="003D2EEF" w:rsidP="003D2EEF">
            <w:pPr>
              <w:suppressAutoHyphens/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/или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D2EEF" w:rsidRPr="003A471E" w:rsidRDefault="003D2EEF" w:rsidP="003D2EEF">
            <w:pPr>
              <w:suppressAutoHyphens/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поручительство генерального директора (руководителя) Субъекта МСП (не применяется в отношении Субъектов МСП, являющихся ИП) </w:t>
            </w:r>
          </w:p>
          <w:p w:rsidR="003D2EEF" w:rsidRPr="003A471E" w:rsidRDefault="003D2EEF" w:rsidP="003D2EEF">
            <w:pPr>
              <w:suppressAutoHyphens/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сумму не менее размера предоставляемой гарант</w:t>
            </w:r>
            <w:proofErr w:type="gramStart"/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АО</w:t>
            </w:r>
            <w:proofErr w:type="gramEnd"/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«МСП Банк».</w:t>
            </w:r>
          </w:p>
          <w:p w:rsidR="003D2EEF" w:rsidRPr="003A471E" w:rsidRDefault="003D2EEF" w:rsidP="003E0EB4">
            <w:pPr>
              <w:suppressAutoHyphens/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E66" w:rsidRPr="003A471E" w:rsidRDefault="00A42E66" w:rsidP="00A42E66">
            <w:pPr>
              <w:suppressAutoHyphens/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 размере гарантии </w:t>
            </w:r>
            <w:r w:rsidRPr="003A47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 100 млн. рублей:</w:t>
            </w:r>
          </w:p>
          <w:p w:rsidR="00A42E66" w:rsidRPr="003A471E" w:rsidRDefault="00A42E66" w:rsidP="00A42E66">
            <w:pPr>
              <w:suppressAutoHyphens/>
              <w:spacing w:after="0" w:line="240" w:lineRule="auto"/>
              <w:ind w:left="139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Поручительство собственников Субъекта МСП (юридических и физических лиц), в совокупности контролирующих более 50% уставного капитала Субъекта МСП, </w:t>
            </w:r>
          </w:p>
          <w:p w:rsidR="00A42E66" w:rsidRPr="003A471E" w:rsidRDefault="00A42E66" w:rsidP="00A42E66">
            <w:pPr>
              <w:suppressAutoHyphens/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/или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42E66" w:rsidRPr="003A471E" w:rsidRDefault="00A42E66" w:rsidP="00A42E66">
            <w:pPr>
              <w:suppressAutoHyphens/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поручительство генерального директора (руководителя) Субъекта МСП (не применяется в отношении Субъектов МСП, являющихся ИП) </w:t>
            </w:r>
          </w:p>
          <w:p w:rsidR="00A42E66" w:rsidRPr="003A471E" w:rsidRDefault="00A42E66" w:rsidP="00A42E66">
            <w:pPr>
              <w:suppressAutoHyphens/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сумму не менее размера предоставляемой гарант</w:t>
            </w:r>
            <w:proofErr w:type="gramStart"/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АО</w:t>
            </w:r>
            <w:proofErr w:type="gramEnd"/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«МСП Банк».</w:t>
            </w:r>
          </w:p>
          <w:p w:rsidR="00A42E66" w:rsidRPr="003A471E" w:rsidRDefault="00A42E66" w:rsidP="001C6720">
            <w:pPr>
              <w:suppressAutoHyphens/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3A47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Дополнительное обеспечение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720"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1C6720" w:rsidRPr="003A471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</w:t>
            </w:r>
            <w:r w:rsidR="001C6720" w:rsidRPr="003A471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1C6720" w:rsidRPr="003A47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471E">
              <w:rPr>
                <w:rFonts w:ascii="Times New Roman" w:hAnsi="Times New Roman" w:cs="Times New Roman"/>
                <w:sz w:val="28"/>
                <w:szCs w:val="28"/>
              </w:rPr>
              <w:t xml:space="preserve"> АО «МСП Банк».</w:t>
            </w:r>
          </w:p>
        </w:tc>
      </w:tr>
      <w:tr w:rsidR="00C60C3B" w:rsidRPr="003A471E" w:rsidTr="00C60C3B">
        <w:trPr>
          <w:trHeight w:val="399"/>
        </w:trPr>
        <w:tc>
          <w:tcPr>
            <w:tcW w:w="29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60C3B" w:rsidRPr="003A471E" w:rsidRDefault="00C60C3B" w:rsidP="00571C9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701547" w:rsidRPr="003A471E" w:rsidRDefault="00CD1F67" w:rsidP="00C60C3B">
            <w:pPr>
              <w:suppressAutoHyphens/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поручительства может быть оформлен </w:t>
            </w:r>
            <w:r w:rsidR="00315E88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бумажном носителе (с предоставлением нотариально заверенных документов, подтверждающих полномочия на подписание), так и в электронном виде (с использованием усиленной квалифицированной электронной подписи)</w:t>
            </w:r>
            <w:r w:rsidR="00701547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1F67" w:rsidRPr="003A471E" w:rsidRDefault="00701547" w:rsidP="00C60C3B">
            <w:pPr>
              <w:suppressAutoHyphens/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поручительства заключается</w:t>
            </w:r>
            <w:r w:rsidR="006508B7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посредством направления оферты поручителя и последующего ее акцепта АО «МСП Банк»</w:t>
            </w:r>
            <w:r w:rsidR="00CD1F67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</w:t>
            </w:r>
          </w:p>
          <w:p w:rsidR="000A5B82" w:rsidRPr="003A471E" w:rsidRDefault="000A5B82" w:rsidP="00C60C3B">
            <w:pPr>
              <w:suppressAutoHyphens/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gramStart"/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04542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204542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-ы)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поручительства определяется</w:t>
            </w:r>
            <w:r w:rsidR="00204542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(-ются)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решением Уполномоченного органа АО «МСП Банк».</w:t>
            </w:r>
          </w:p>
          <w:p w:rsidR="00C60C3B" w:rsidRPr="003A471E" w:rsidRDefault="00C60C3B" w:rsidP="00C60C3B">
            <w:pPr>
              <w:suppressAutoHyphens/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оформляется до выдачи банковской гарантии. </w:t>
            </w:r>
          </w:p>
          <w:p w:rsidR="00C60C3B" w:rsidRPr="003A471E" w:rsidRDefault="00C60C3B" w:rsidP="004026F0">
            <w:pPr>
              <w:spacing w:after="0" w:line="240" w:lineRule="auto"/>
              <w:ind w:left="139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решению Уполномоченного органа АО «МСП Банк» мо</w:t>
            </w:r>
            <w:r w:rsidR="004026F0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быть предусмотрен</w:t>
            </w:r>
            <w:r w:rsidR="004026F0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</w:t>
            </w:r>
            <w:r w:rsidR="004026F0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</w:t>
            </w:r>
            <w:r w:rsidR="004026F0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обеспечения</w:t>
            </w:r>
            <w:r w:rsidR="0067711D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поручительства третьих лиц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447F" w:rsidRPr="003A471E" w:rsidRDefault="0037447F" w:rsidP="0037447F">
            <w:pPr>
              <w:suppressAutoHyphens/>
              <w:spacing w:after="0" w:line="240" w:lineRule="auto"/>
              <w:ind w:left="139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если совокупная сумма гарантий</w:t>
            </w:r>
            <w:r w:rsidR="00FE199E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199E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выданных  без предоставления обеспечения регрессных требований АО «МСП Банк», 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50 млн. руб. и более Субъект МСП, независимо от суммы </w:t>
            </w:r>
            <w:r w:rsidR="00811D41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новой 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гарантии, обязан предоставить обеспечение</w:t>
            </w:r>
            <w:r w:rsidR="00811D41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регрессных требований АО «МСП Банк»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сумму не менее размера предоставляемой гарант</w:t>
            </w:r>
            <w:proofErr w:type="gramStart"/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АО</w:t>
            </w:r>
            <w:proofErr w:type="gramEnd"/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«МСП Банк». </w:t>
            </w:r>
          </w:p>
          <w:p w:rsidR="0037447F" w:rsidRPr="003A471E" w:rsidRDefault="0037447F" w:rsidP="004026F0">
            <w:pPr>
              <w:spacing w:after="0" w:line="240" w:lineRule="auto"/>
              <w:ind w:left="139" w:right="136"/>
              <w:jc w:val="both"/>
              <w:textAlignment w:val="top"/>
              <w:rPr>
                <w:rFonts w:ascii="Arial" w:hAnsi="Arial" w:cs="Arial"/>
              </w:rPr>
            </w:pPr>
          </w:p>
        </w:tc>
      </w:tr>
      <w:tr w:rsidR="005839F5" w:rsidRPr="003A471E" w:rsidTr="006C0B7A">
        <w:trPr>
          <w:trHeight w:val="57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839F5" w:rsidRPr="003A471E" w:rsidRDefault="005839F5" w:rsidP="00571C9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Вид и объем ответственности </w:t>
            </w:r>
            <w:r w:rsidR="000C6030" w:rsidRPr="003A471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перед Зака</w:t>
            </w:r>
            <w:r w:rsidR="00E13411" w:rsidRPr="003A471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зчиком</w:t>
            </w:r>
          </w:p>
        </w:tc>
        <w:tc>
          <w:tcPr>
            <w:tcW w:w="11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5839F5" w:rsidRPr="003A471E" w:rsidRDefault="00817D46" w:rsidP="00571C9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  <w:r w:rsidR="005839F5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вправе обратиться к АО «МСП Банк» с требованием о совершении платежа по гарантии, если обязательство 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Принципала по заключению контракта </w:t>
            </w:r>
            <w:r w:rsidR="00C21D08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21D08" w:rsidRPr="003A4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 иное обязательство в соответствии с конкурсной документацией и/или контрактом между Субъектом МСП и Заказчиком</w:t>
            </w:r>
            <w:r w:rsidR="00C21D08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осталось неисполненным</w:t>
            </w:r>
            <w:r w:rsidR="005839F5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839F5" w:rsidRPr="003A471E" w:rsidRDefault="00817D46" w:rsidP="00FF3C7B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 ответственности АО «МСП Банк» определяется </w:t>
            </w:r>
            <w:r w:rsidR="00FF3C7B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 документацией и</w:t>
            </w:r>
            <w:r w:rsidR="007E5C24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/или</w:t>
            </w:r>
            <w:r w:rsidR="00FF3C7B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контрактом между Субъектом МСП и 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  <w:r w:rsidR="00FF3C7B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839F5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39F5" w:rsidRPr="003A471E" w:rsidTr="006C0B7A">
        <w:trPr>
          <w:trHeight w:val="572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839F5" w:rsidRPr="003A471E" w:rsidRDefault="005839F5" w:rsidP="00571C9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Гарантийный случай</w:t>
            </w:r>
          </w:p>
        </w:tc>
        <w:tc>
          <w:tcPr>
            <w:tcW w:w="11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5839F5" w:rsidRPr="003A471E" w:rsidRDefault="007F3D26" w:rsidP="00612635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="00612635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 документацией и</w:t>
            </w:r>
            <w:r w:rsidR="007E5C24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/или</w:t>
            </w:r>
            <w:r w:rsidR="00612635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контрактом между Субъектом МСП и </w:t>
            </w:r>
            <w:r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Заказчик</w:t>
            </w:r>
            <w:r w:rsidR="00612635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</w:p>
        </w:tc>
      </w:tr>
      <w:tr w:rsidR="005839F5" w:rsidRPr="00571C9A" w:rsidTr="006C0B7A">
        <w:trPr>
          <w:trHeight w:val="40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5839F5" w:rsidRPr="003A471E" w:rsidRDefault="005839F5" w:rsidP="009733F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Дополнительные </w:t>
            </w:r>
            <w:r w:rsidR="009733F6" w:rsidRPr="003A471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условия предоставления гарантии</w:t>
            </w:r>
            <w:r w:rsidRPr="003A471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1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5E74CC" w:rsidRPr="003A471E" w:rsidRDefault="00E13411" w:rsidP="00857B6C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Заключение между Субъектом МСП и АО «МСП Банк» договора о выдаче гарантии</w:t>
            </w:r>
            <w:r w:rsidR="00033BF6" w:rsidRPr="003A471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(</w:t>
            </w:r>
            <w:r w:rsidR="00777232" w:rsidRPr="003A471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777232" w:rsidRPr="003A471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т.ч</w:t>
            </w:r>
            <w:proofErr w:type="spellEnd"/>
            <w:r w:rsidR="00777232" w:rsidRPr="003A471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. </w:t>
            </w:r>
            <w:r w:rsidR="00033BF6" w:rsidRPr="003A471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в форме  присоединении к </w:t>
            </w:r>
            <w:r w:rsidR="00BD0F70" w:rsidRPr="003A471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Правилам взаимодействия субъектов МСП с АО «МСП Банк»</w:t>
            </w:r>
            <w:r w:rsidR="00CC257D" w:rsidRPr="003A471E">
              <w:rPr>
                <w:rStyle w:val="a7"/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footnoteReference w:id="5"/>
            </w:r>
            <w:r w:rsidR="00BD0F70" w:rsidRPr="003A471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при предоставлении гарантий</w:t>
            </w:r>
            <w:r w:rsidR="00400B3E" w:rsidRPr="003A471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883E58" w:rsidRPr="003A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Федеральных законов № 223-ФЗ и </w:t>
            </w:r>
            <w:r w:rsidR="00883E58" w:rsidRPr="003A471E">
              <w:rPr>
                <w:rFonts w:ascii="Times New Roman" w:hAnsi="Times New Roman" w:cs="Times New Roman"/>
                <w:sz w:val="28"/>
                <w:szCs w:val="28"/>
              </w:rPr>
              <w:t>44-ФЗ</w:t>
            </w:r>
            <w:r w:rsidR="00033BF6" w:rsidRPr="003A471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)</w:t>
            </w:r>
            <w:r w:rsidR="005E74CC" w:rsidRPr="003A471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  <w:r w:rsidR="006106E5" w:rsidRPr="003A471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 </w:t>
            </w:r>
          </w:p>
          <w:p w:rsidR="00817D46" w:rsidRPr="003A471E" w:rsidRDefault="005E74CC" w:rsidP="00067AF8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Подача Субъектом МСП заявления о присоединении к Правилам</w:t>
            </w:r>
            <w:r w:rsidR="00497F79" w:rsidRPr="003A471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электро</w:t>
            </w:r>
            <w:r w:rsidRPr="003A471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нного документооборота с АО «МСП Банк»</w:t>
            </w:r>
            <w:r w:rsidR="00067AF8" w:rsidRPr="003A471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  <w:p w:rsidR="00067AF8" w:rsidRPr="003A471E" w:rsidRDefault="00824FEA" w:rsidP="00067AF8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Форма банковской гарант</w:t>
            </w:r>
            <w:proofErr w:type="gramStart"/>
            <w:r w:rsidRPr="003A471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ии АО</w:t>
            </w:r>
            <w:proofErr w:type="gramEnd"/>
            <w:r w:rsidRPr="003A471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«МСП Банк» - в соответствии с требованиями Заказчика</w:t>
            </w:r>
            <w:r w:rsidR="003355F3" w:rsidRPr="003A471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и конкурсной документацией и/или контрактом между Субъектом МСП и Заказчиком</w:t>
            </w:r>
            <w:r w:rsidRPr="003A471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  <w:p w:rsidR="00824FEA" w:rsidRPr="003A471E" w:rsidRDefault="00824FEA" w:rsidP="00067AF8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Гарантия может быть предоставлена на бумажном носителе или в электронном виде (с подписанием усиленной квалифицированной электронной подписью)</w:t>
            </w:r>
            <w:r w:rsidR="00400B3E" w:rsidRPr="003A471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. В случае если гарантия АО «МСП Банк» будет предоставлена Субъекту МСП на бумажном носителе,  Субъект МСП самостоятельно оплачивает услуги доставки</w:t>
            </w:r>
            <w:r w:rsidR="00883E58" w:rsidRPr="003A471E">
              <w:rPr>
                <w:rStyle w:val="a7"/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footnoteReference w:id="6"/>
            </w:r>
            <w:r w:rsidR="00400B3E" w:rsidRPr="003A471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  <w:p w:rsidR="005839F5" w:rsidRPr="003A471E" w:rsidRDefault="00355EF1" w:rsidP="00400B3E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3A471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Документооборот с Субъектом МСП осуществляется  в электронном виде с использованием средств усиленной квалифицированной электронной </w:t>
            </w:r>
            <w:r w:rsidR="005E74CC" w:rsidRPr="003A471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подписи</w:t>
            </w:r>
            <w:r w:rsidRPr="003A471E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>.</w:t>
            </w:r>
            <w:r w:rsidR="006D5B23" w:rsidRPr="003A471E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71C9A" w:rsidRDefault="00571C9A" w:rsidP="00571C9A">
      <w:pPr>
        <w:suppressAutoHyphens/>
        <w:rPr>
          <w:rFonts w:ascii="Calibri" w:eastAsia="Calibri" w:hAnsi="Calibri" w:cs="Times New Roman"/>
          <w:lang w:eastAsia="zh-CN"/>
        </w:rPr>
      </w:pPr>
    </w:p>
    <w:p w:rsidR="00355EF1" w:rsidRDefault="00355EF1" w:rsidP="00571C9A">
      <w:pPr>
        <w:suppressAutoHyphens/>
        <w:rPr>
          <w:rFonts w:ascii="Calibri" w:eastAsia="Calibri" w:hAnsi="Calibri" w:cs="Times New Roman"/>
          <w:lang w:eastAsia="zh-CN"/>
        </w:rPr>
      </w:pPr>
    </w:p>
    <w:p w:rsidR="00505D81" w:rsidRPr="00C82FBF" w:rsidRDefault="00505D81" w:rsidP="00931D4E">
      <w:pPr>
        <w:rPr>
          <w:rFonts w:ascii="Times New Roman" w:hAnsi="Times New Roman" w:cs="Times New Roman"/>
          <w:sz w:val="28"/>
          <w:szCs w:val="28"/>
        </w:rPr>
      </w:pPr>
    </w:p>
    <w:sectPr w:rsidR="00505D81" w:rsidRPr="00C82FBF" w:rsidSect="00DF4AE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63" w:rsidRDefault="00BF0D63" w:rsidP="00086D87">
      <w:pPr>
        <w:spacing w:after="0" w:line="240" w:lineRule="auto"/>
      </w:pPr>
      <w:r>
        <w:separator/>
      </w:r>
    </w:p>
  </w:endnote>
  <w:endnote w:type="continuationSeparator" w:id="0">
    <w:p w:rsidR="00BF0D63" w:rsidRDefault="00BF0D63" w:rsidP="0008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63" w:rsidRDefault="00BF0D63" w:rsidP="00086D87">
      <w:pPr>
        <w:spacing w:after="0" w:line="240" w:lineRule="auto"/>
      </w:pPr>
      <w:r>
        <w:separator/>
      </w:r>
    </w:p>
  </w:footnote>
  <w:footnote w:type="continuationSeparator" w:id="0">
    <w:p w:rsidR="00BF0D63" w:rsidRDefault="00BF0D63" w:rsidP="00086D87">
      <w:pPr>
        <w:spacing w:after="0" w:line="240" w:lineRule="auto"/>
      </w:pPr>
      <w:r>
        <w:continuationSeparator/>
      </w:r>
    </w:p>
  </w:footnote>
  <w:footnote w:id="1">
    <w:p w:rsidR="00C34089" w:rsidRPr="002D6F2D" w:rsidRDefault="00C34089" w:rsidP="002D6F2D">
      <w:pPr>
        <w:pStyle w:val="a5"/>
        <w:jc w:val="both"/>
        <w:rPr>
          <w:sz w:val="24"/>
          <w:szCs w:val="24"/>
        </w:rPr>
      </w:pPr>
      <w:r w:rsidRPr="003A471E">
        <w:rPr>
          <w:rStyle w:val="a7"/>
        </w:rPr>
        <w:footnoteRef/>
      </w:r>
      <w:r w:rsidRPr="003A471E">
        <w:t xml:space="preserve"> </w:t>
      </w:r>
      <w:r w:rsidRPr="003A471E">
        <w:rPr>
          <w:sz w:val="24"/>
          <w:szCs w:val="24"/>
        </w:rPr>
        <w:t>При установлении Гарантийного лимита или выдач</w:t>
      </w:r>
      <w:r w:rsidR="00AB3EA9">
        <w:rPr>
          <w:sz w:val="24"/>
          <w:szCs w:val="24"/>
        </w:rPr>
        <w:t>и</w:t>
      </w:r>
      <w:r w:rsidRPr="003A471E">
        <w:rPr>
          <w:sz w:val="24"/>
          <w:szCs w:val="24"/>
        </w:rPr>
        <w:t xml:space="preserve"> банковской гарантии на сумму свыше 25 млн. рублей данное требование   рассматривается в индивидуальном порядке.</w:t>
      </w:r>
    </w:p>
  </w:footnote>
  <w:footnote w:id="2">
    <w:p w:rsidR="008D59E2" w:rsidRPr="008D59E2" w:rsidRDefault="008D59E2" w:rsidP="008D59E2">
      <w:pPr>
        <w:pStyle w:val="a5"/>
        <w:jc w:val="both"/>
        <w:rPr>
          <w:sz w:val="24"/>
          <w:szCs w:val="24"/>
        </w:rPr>
      </w:pPr>
      <w:r w:rsidRPr="008D59E2">
        <w:rPr>
          <w:rStyle w:val="a7"/>
          <w:sz w:val="24"/>
          <w:szCs w:val="24"/>
        </w:rPr>
        <w:footnoteRef/>
      </w:r>
      <w:r w:rsidRPr="008D59E2">
        <w:rPr>
          <w:sz w:val="24"/>
          <w:szCs w:val="24"/>
        </w:rPr>
        <w:t xml:space="preserve"> Указанный порядок оценки сопоставимости сумм контрактов применяется в случае установлении Гарантийного лимита или выдач</w:t>
      </w:r>
      <w:r w:rsidR="00AB3EA9">
        <w:rPr>
          <w:sz w:val="24"/>
          <w:szCs w:val="24"/>
        </w:rPr>
        <w:t>и</w:t>
      </w:r>
      <w:r w:rsidRPr="008D59E2">
        <w:rPr>
          <w:sz w:val="24"/>
          <w:szCs w:val="24"/>
        </w:rPr>
        <w:t xml:space="preserve"> банковской гарантии на сумму до 25 млн. руб. (включительно). При установлении Гарантийного лимита или выдач</w:t>
      </w:r>
      <w:r w:rsidR="00AB3EA9">
        <w:rPr>
          <w:sz w:val="24"/>
          <w:szCs w:val="24"/>
        </w:rPr>
        <w:t>и</w:t>
      </w:r>
      <w:r w:rsidRPr="008D59E2">
        <w:rPr>
          <w:sz w:val="24"/>
          <w:szCs w:val="24"/>
        </w:rPr>
        <w:t xml:space="preserve"> банковской гарантии на сумму свыше 25 млн. рублей сопоставимость сумм контрактов оценивается в индивидуальном порядке.</w:t>
      </w:r>
    </w:p>
    <w:p w:rsidR="008D59E2" w:rsidRPr="008D59E2" w:rsidRDefault="008D59E2">
      <w:pPr>
        <w:pStyle w:val="a5"/>
      </w:pPr>
    </w:p>
  </w:footnote>
  <w:footnote w:id="3">
    <w:p w:rsidR="00C34089" w:rsidRPr="00F51AA0" w:rsidRDefault="00C34089" w:rsidP="000B29DA">
      <w:pPr>
        <w:pStyle w:val="a5"/>
        <w:jc w:val="both"/>
        <w:rPr>
          <w:sz w:val="24"/>
          <w:szCs w:val="24"/>
        </w:rPr>
      </w:pPr>
      <w:r w:rsidRPr="00F51AA0">
        <w:rPr>
          <w:rStyle w:val="a7"/>
          <w:sz w:val="24"/>
          <w:szCs w:val="24"/>
        </w:rPr>
        <w:footnoteRef/>
      </w:r>
      <w:r w:rsidRPr="00F51AA0">
        <w:rPr>
          <w:sz w:val="24"/>
          <w:szCs w:val="24"/>
        </w:rPr>
        <w:t xml:space="preserve"> По решению Уполномоченного органа АО «МСП Банк» может быть установлен индивидуальный график уплаты вознаграждения.</w:t>
      </w:r>
    </w:p>
  </w:footnote>
  <w:footnote w:id="4">
    <w:p w:rsidR="00C34089" w:rsidRPr="00F51AA0" w:rsidRDefault="00C34089" w:rsidP="000B29DA">
      <w:pPr>
        <w:pStyle w:val="a5"/>
        <w:jc w:val="both"/>
        <w:rPr>
          <w:sz w:val="24"/>
          <w:szCs w:val="24"/>
        </w:rPr>
      </w:pPr>
      <w:r w:rsidRPr="00F51AA0">
        <w:rPr>
          <w:rStyle w:val="a7"/>
          <w:sz w:val="24"/>
          <w:szCs w:val="24"/>
        </w:rPr>
        <w:footnoteRef/>
      </w:r>
      <w:r w:rsidRPr="003D2EEF">
        <w:rPr>
          <w:sz w:val="24"/>
          <w:szCs w:val="24"/>
        </w:rPr>
        <w:t xml:space="preserve"> </w:t>
      </w:r>
      <w:r w:rsidRPr="003A471E">
        <w:rPr>
          <w:sz w:val="24"/>
          <w:szCs w:val="24"/>
        </w:rPr>
        <w:t>После внедрения специального банковского электронного сервиса оплата вознаграждения будет осуществляться до принятия АО «МСП Банк» решения о предоставлении банковской гарантии (авансом).</w:t>
      </w:r>
      <w:r>
        <w:rPr>
          <w:sz w:val="24"/>
          <w:szCs w:val="24"/>
        </w:rPr>
        <w:t xml:space="preserve"> </w:t>
      </w:r>
    </w:p>
  </w:footnote>
  <w:footnote w:id="5">
    <w:p w:rsidR="00CC257D" w:rsidRPr="003A471E" w:rsidRDefault="00CC257D" w:rsidP="00CC257D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3A471E">
        <w:rPr>
          <w:sz w:val="24"/>
          <w:szCs w:val="24"/>
        </w:rPr>
        <w:t>Присоединение к Правилам взаимодействия  субъектов МСП с АО «МСП Банк» при предоставлении гарантий в рамках Федеральных законов 223-ФЗ и 44-ФЗ будет возможно после  внедрения специального банковского электронного сервиса.</w:t>
      </w:r>
    </w:p>
  </w:footnote>
  <w:footnote w:id="6">
    <w:p w:rsidR="00C34089" w:rsidRPr="00FA6777" w:rsidRDefault="00C34089" w:rsidP="00697EED">
      <w:pPr>
        <w:pStyle w:val="a5"/>
        <w:jc w:val="both"/>
        <w:rPr>
          <w:sz w:val="24"/>
          <w:szCs w:val="24"/>
        </w:rPr>
      </w:pPr>
      <w:r w:rsidRPr="003A471E">
        <w:rPr>
          <w:rStyle w:val="a7"/>
          <w:sz w:val="24"/>
          <w:szCs w:val="24"/>
        </w:rPr>
        <w:footnoteRef/>
      </w:r>
      <w:r w:rsidRPr="003A471E">
        <w:rPr>
          <w:sz w:val="24"/>
          <w:szCs w:val="24"/>
        </w:rPr>
        <w:t xml:space="preserve"> Требование об оплате Субъектом МСП услуг доставки за предоставленную АО «МСП Банк» гарантию на бумажном носителе вступает в действие после</w:t>
      </w:r>
      <w:r w:rsidRPr="003A471E">
        <w:t xml:space="preserve"> </w:t>
      </w:r>
      <w:r w:rsidRPr="003A471E">
        <w:rPr>
          <w:sz w:val="24"/>
          <w:szCs w:val="24"/>
        </w:rPr>
        <w:t>внедрения специального банковского электронного сервиса. До момента внедрения специального банковского электронного сервиса гарантия АО «МСП Банк» на бумажном носителе предоставляет</w:t>
      </w:r>
      <w:r w:rsidR="00FA6777">
        <w:rPr>
          <w:sz w:val="24"/>
          <w:szCs w:val="24"/>
        </w:rPr>
        <w:t>ся непосредственно Субъекту МСП.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FE6"/>
    <w:multiLevelType w:val="hybridMultilevel"/>
    <w:tmpl w:val="B060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38E2"/>
    <w:multiLevelType w:val="hybridMultilevel"/>
    <w:tmpl w:val="03D0B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C035F"/>
    <w:multiLevelType w:val="hybridMultilevel"/>
    <w:tmpl w:val="1E40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8499D"/>
    <w:multiLevelType w:val="hybridMultilevel"/>
    <w:tmpl w:val="B8D8BF54"/>
    <w:lvl w:ilvl="0" w:tplc="3F74D6AA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4">
    <w:nsid w:val="1B425E45"/>
    <w:multiLevelType w:val="hybridMultilevel"/>
    <w:tmpl w:val="4210E478"/>
    <w:lvl w:ilvl="0" w:tplc="C1CAEEA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5">
    <w:nsid w:val="32727AF2"/>
    <w:multiLevelType w:val="hybridMultilevel"/>
    <w:tmpl w:val="B8D8BF54"/>
    <w:lvl w:ilvl="0" w:tplc="3F74D6AA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6">
    <w:nsid w:val="331271A7"/>
    <w:multiLevelType w:val="hybridMultilevel"/>
    <w:tmpl w:val="B8D8BF54"/>
    <w:lvl w:ilvl="0" w:tplc="3F74D6AA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7">
    <w:nsid w:val="49A27DBD"/>
    <w:multiLevelType w:val="hybridMultilevel"/>
    <w:tmpl w:val="DDE41BCA"/>
    <w:lvl w:ilvl="0" w:tplc="C4C695A8">
      <w:start w:val="2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>
    <w:nsid w:val="4AAC6FCB"/>
    <w:multiLevelType w:val="hybridMultilevel"/>
    <w:tmpl w:val="1D8496A2"/>
    <w:lvl w:ilvl="0" w:tplc="55BC95E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49778A"/>
    <w:multiLevelType w:val="hybridMultilevel"/>
    <w:tmpl w:val="8910A1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44DB8"/>
    <w:multiLevelType w:val="hybridMultilevel"/>
    <w:tmpl w:val="C21C33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639C3252"/>
    <w:multiLevelType w:val="hybridMultilevel"/>
    <w:tmpl w:val="5D14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F411C"/>
    <w:multiLevelType w:val="hybridMultilevel"/>
    <w:tmpl w:val="8FC4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75526"/>
    <w:multiLevelType w:val="hybridMultilevel"/>
    <w:tmpl w:val="D1A05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4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 w:tplc="F21245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12"/>
  </w:num>
  <w:num w:numId="8">
    <w:abstractNumId w:val="13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0F"/>
    <w:rsid w:val="00033BF6"/>
    <w:rsid w:val="00034E26"/>
    <w:rsid w:val="000353D7"/>
    <w:rsid w:val="000359A0"/>
    <w:rsid w:val="00067AF8"/>
    <w:rsid w:val="00084612"/>
    <w:rsid w:val="00086D87"/>
    <w:rsid w:val="00090EC5"/>
    <w:rsid w:val="00093130"/>
    <w:rsid w:val="000A5B82"/>
    <w:rsid w:val="000B201E"/>
    <w:rsid w:val="000B29DA"/>
    <w:rsid w:val="000B2F0F"/>
    <w:rsid w:val="000B6964"/>
    <w:rsid w:val="000C6030"/>
    <w:rsid w:val="000D29A1"/>
    <w:rsid w:val="000D3870"/>
    <w:rsid w:val="000E65CA"/>
    <w:rsid w:val="000F6314"/>
    <w:rsid w:val="000F7A44"/>
    <w:rsid w:val="001129C4"/>
    <w:rsid w:val="00114F7E"/>
    <w:rsid w:val="0011513E"/>
    <w:rsid w:val="00116D46"/>
    <w:rsid w:val="0011783D"/>
    <w:rsid w:val="00142B81"/>
    <w:rsid w:val="00164F0E"/>
    <w:rsid w:val="00167D3F"/>
    <w:rsid w:val="0017785D"/>
    <w:rsid w:val="00180E6D"/>
    <w:rsid w:val="00191B5D"/>
    <w:rsid w:val="0019329E"/>
    <w:rsid w:val="001C321E"/>
    <w:rsid w:val="001C634B"/>
    <w:rsid w:val="001C6720"/>
    <w:rsid w:val="001D5A71"/>
    <w:rsid w:val="001D6C29"/>
    <w:rsid w:val="001E4CBD"/>
    <w:rsid w:val="001F09E6"/>
    <w:rsid w:val="001F6F23"/>
    <w:rsid w:val="002031FE"/>
    <w:rsid w:val="00204542"/>
    <w:rsid w:val="00225B39"/>
    <w:rsid w:val="002828A1"/>
    <w:rsid w:val="00287BAD"/>
    <w:rsid w:val="002A29D9"/>
    <w:rsid w:val="002B0A47"/>
    <w:rsid w:val="002D060D"/>
    <w:rsid w:val="002D365C"/>
    <w:rsid w:val="002D6F2D"/>
    <w:rsid w:val="002D779F"/>
    <w:rsid w:val="002E208C"/>
    <w:rsid w:val="002E2E73"/>
    <w:rsid w:val="002F7D61"/>
    <w:rsid w:val="00306D03"/>
    <w:rsid w:val="00313B65"/>
    <w:rsid w:val="00315E88"/>
    <w:rsid w:val="00330BFD"/>
    <w:rsid w:val="003355F3"/>
    <w:rsid w:val="003477A5"/>
    <w:rsid w:val="00355EF1"/>
    <w:rsid w:val="003647C4"/>
    <w:rsid w:val="00365B58"/>
    <w:rsid w:val="003709F8"/>
    <w:rsid w:val="0037431B"/>
    <w:rsid w:val="0037447F"/>
    <w:rsid w:val="00394CBD"/>
    <w:rsid w:val="003A471E"/>
    <w:rsid w:val="003B0CD8"/>
    <w:rsid w:val="003C03B6"/>
    <w:rsid w:val="003C1927"/>
    <w:rsid w:val="003C47B5"/>
    <w:rsid w:val="003D2EEF"/>
    <w:rsid w:val="003D30A7"/>
    <w:rsid w:val="003E00C3"/>
    <w:rsid w:val="003E0EB4"/>
    <w:rsid w:val="003E3A09"/>
    <w:rsid w:val="003F10BD"/>
    <w:rsid w:val="004009DD"/>
    <w:rsid w:val="00400B3E"/>
    <w:rsid w:val="004026F0"/>
    <w:rsid w:val="00405291"/>
    <w:rsid w:val="0041711B"/>
    <w:rsid w:val="004223F8"/>
    <w:rsid w:val="00427084"/>
    <w:rsid w:val="00443BD8"/>
    <w:rsid w:val="00444909"/>
    <w:rsid w:val="004516AE"/>
    <w:rsid w:val="004539ED"/>
    <w:rsid w:val="00481EF1"/>
    <w:rsid w:val="0048578D"/>
    <w:rsid w:val="00492767"/>
    <w:rsid w:val="00497F79"/>
    <w:rsid w:val="004A641E"/>
    <w:rsid w:val="004B5E1F"/>
    <w:rsid w:val="004D6C32"/>
    <w:rsid w:val="004E764D"/>
    <w:rsid w:val="00500D82"/>
    <w:rsid w:val="00502A6D"/>
    <w:rsid w:val="00505D81"/>
    <w:rsid w:val="00511215"/>
    <w:rsid w:val="00525444"/>
    <w:rsid w:val="005425F8"/>
    <w:rsid w:val="005430DF"/>
    <w:rsid w:val="00550BA2"/>
    <w:rsid w:val="00570CC0"/>
    <w:rsid w:val="00571C9A"/>
    <w:rsid w:val="005766AB"/>
    <w:rsid w:val="005839F5"/>
    <w:rsid w:val="0059220B"/>
    <w:rsid w:val="00595EC4"/>
    <w:rsid w:val="005A3C88"/>
    <w:rsid w:val="005D5B4D"/>
    <w:rsid w:val="005E2095"/>
    <w:rsid w:val="005E4960"/>
    <w:rsid w:val="005E6A02"/>
    <w:rsid w:val="005E74CC"/>
    <w:rsid w:val="006106E5"/>
    <w:rsid w:val="00612635"/>
    <w:rsid w:val="006230AD"/>
    <w:rsid w:val="00624AC9"/>
    <w:rsid w:val="00627FC4"/>
    <w:rsid w:val="006328D0"/>
    <w:rsid w:val="00637C0F"/>
    <w:rsid w:val="00640F6D"/>
    <w:rsid w:val="006508B7"/>
    <w:rsid w:val="00662F30"/>
    <w:rsid w:val="0067711D"/>
    <w:rsid w:val="00697EED"/>
    <w:rsid w:val="006A095C"/>
    <w:rsid w:val="006A5CBD"/>
    <w:rsid w:val="006B2043"/>
    <w:rsid w:val="006C0B7A"/>
    <w:rsid w:val="006C0C4F"/>
    <w:rsid w:val="006C560C"/>
    <w:rsid w:val="006C5A4C"/>
    <w:rsid w:val="006C65B0"/>
    <w:rsid w:val="006C7E5D"/>
    <w:rsid w:val="006D1EFB"/>
    <w:rsid w:val="006D5B23"/>
    <w:rsid w:val="006D64DF"/>
    <w:rsid w:val="007013B7"/>
    <w:rsid w:val="00701547"/>
    <w:rsid w:val="00706DBD"/>
    <w:rsid w:val="007151E9"/>
    <w:rsid w:val="0071758E"/>
    <w:rsid w:val="0072661E"/>
    <w:rsid w:val="00730B75"/>
    <w:rsid w:val="00742434"/>
    <w:rsid w:val="0075179F"/>
    <w:rsid w:val="0075542B"/>
    <w:rsid w:val="00763E93"/>
    <w:rsid w:val="00770F3E"/>
    <w:rsid w:val="007720FE"/>
    <w:rsid w:val="00777232"/>
    <w:rsid w:val="00780D76"/>
    <w:rsid w:val="0078574C"/>
    <w:rsid w:val="00790C3C"/>
    <w:rsid w:val="007967AA"/>
    <w:rsid w:val="007A3E7A"/>
    <w:rsid w:val="007A42DD"/>
    <w:rsid w:val="007A7A40"/>
    <w:rsid w:val="007D2DA4"/>
    <w:rsid w:val="007D7778"/>
    <w:rsid w:val="007E5C24"/>
    <w:rsid w:val="007F038B"/>
    <w:rsid w:val="007F3D26"/>
    <w:rsid w:val="007F4455"/>
    <w:rsid w:val="007F60F3"/>
    <w:rsid w:val="007F6428"/>
    <w:rsid w:val="0080168A"/>
    <w:rsid w:val="00811D41"/>
    <w:rsid w:val="008126C7"/>
    <w:rsid w:val="008130CD"/>
    <w:rsid w:val="00817D46"/>
    <w:rsid w:val="008247A9"/>
    <w:rsid w:val="00824FEA"/>
    <w:rsid w:val="0083063A"/>
    <w:rsid w:val="00831E48"/>
    <w:rsid w:val="00854FA4"/>
    <w:rsid w:val="00857B6C"/>
    <w:rsid w:val="008620B8"/>
    <w:rsid w:val="00864385"/>
    <w:rsid w:val="00877ADA"/>
    <w:rsid w:val="00880149"/>
    <w:rsid w:val="00880BB1"/>
    <w:rsid w:val="00883E58"/>
    <w:rsid w:val="00887F6F"/>
    <w:rsid w:val="008915DF"/>
    <w:rsid w:val="008A755A"/>
    <w:rsid w:val="008B50FD"/>
    <w:rsid w:val="008B6F1A"/>
    <w:rsid w:val="008B773C"/>
    <w:rsid w:val="008D3928"/>
    <w:rsid w:val="008D59E2"/>
    <w:rsid w:val="008D651D"/>
    <w:rsid w:val="008E4191"/>
    <w:rsid w:val="008F23E9"/>
    <w:rsid w:val="008F47A0"/>
    <w:rsid w:val="00900770"/>
    <w:rsid w:val="00901D23"/>
    <w:rsid w:val="00901DE7"/>
    <w:rsid w:val="009058DE"/>
    <w:rsid w:val="00905F64"/>
    <w:rsid w:val="00917FF7"/>
    <w:rsid w:val="009218FF"/>
    <w:rsid w:val="00926418"/>
    <w:rsid w:val="00931D4E"/>
    <w:rsid w:val="00943AA0"/>
    <w:rsid w:val="00957E1B"/>
    <w:rsid w:val="00963C56"/>
    <w:rsid w:val="009658F8"/>
    <w:rsid w:val="009733F6"/>
    <w:rsid w:val="009748F6"/>
    <w:rsid w:val="00977BF7"/>
    <w:rsid w:val="009B1385"/>
    <w:rsid w:val="009C25D8"/>
    <w:rsid w:val="009E5618"/>
    <w:rsid w:val="00A06EC4"/>
    <w:rsid w:val="00A12601"/>
    <w:rsid w:val="00A21E8F"/>
    <w:rsid w:val="00A22303"/>
    <w:rsid w:val="00A31CDF"/>
    <w:rsid w:val="00A42E66"/>
    <w:rsid w:val="00A55F76"/>
    <w:rsid w:val="00A61C79"/>
    <w:rsid w:val="00A6562D"/>
    <w:rsid w:val="00A8235A"/>
    <w:rsid w:val="00A87D34"/>
    <w:rsid w:val="00AA5A61"/>
    <w:rsid w:val="00AB3EA9"/>
    <w:rsid w:val="00AC2D86"/>
    <w:rsid w:val="00AD7EEE"/>
    <w:rsid w:val="00AE7DBB"/>
    <w:rsid w:val="00B12C35"/>
    <w:rsid w:val="00B229E7"/>
    <w:rsid w:val="00B2561F"/>
    <w:rsid w:val="00B33BA1"/>
    <w:rsid w:val="00B42F9E"/>
    <w:rsid w:val="00B46592"/>
    <w:rsid w:val="00B55129"/>
    <w:rsid w:val="00B55945"/>
    <w:rsid w:val="00B74CA6"/>
    <w:rsid w:val="00BA292B"/>
    <w:rsid w:val="00BA5ECD"/>
    <w:rsid w:val="00BA6C68"/>
    <w:rsid w:val="00BB35DE"/>
    <w:rsid w:val="00BB7673"/>
    <w:rsid w:val="00BC15EC"/>
    <w:rsid w:val="00BC4E7D"/>
    <w:rsid w:val="00BD0F70"/>
    <w:rsid w:val="00BE0185"/>
    <w:rsid w:val="00BE09E4"/>
    <w:rsid w:val="00BF0D63"/>
    <w:rsid w:val="00BF4546"/>
    <w:rsid w:val="00C02E66"/>
    <w:rsid w:val="00C14783"/>
    <w:rsid w:val="00C21D08"/>
    <w:rsid w:val="00C232C5"/>
    <w:rsid w:val="00C27590"/>
    <w:rsid w:val="00C34089"/>
    <w:rsid w:val="00C341E0"/>
    <w:rsid w:val="00C35D14"/>
    <w:rsid w:val="00C45840"/>
    <w:rsid w:val="00C467DD"/>
    <w:rsid w:val="00C541E4"/>
    <w:rsid w:val="00C60C3B"/>
    <w:rsid w:val="00C82FBF"/>
    <w:rsid w:val="00C874D4"/>
    <w:rsid w:val="00CC257D"/>
    <w:rsid w:val="00CD1F67"/>
    <w:rsid w:val="00CE59CF"/>
    <w:rsid w:val="00CF3F17"/>
    <w:rsid w:val="00CF77CD"/>
    <w:rsid w:val="00D0406D"/>
    <w:rsid w:val="00D061A4"/>
    <w:rsid w:val="00D11E7D"/>
    <w:rsid w:val="00D22290"/>
    <w:rsid w:val="00D52883"/>
    <w:rsid w:val="00D74F34"/>
    <w:rsid w:val="00DB0223"/>
    <w:rsid w:val="00DC2A14"/>
    <w:rsid w:val="00DD6E20"/>
    <w:rsid w:val="00DE0818"/>
    <w:rsid w:val="00DE5B27"/>
    <w:rsid w:val="00DE708B"/>
    <w:rsid w:val="00DF4AE4"/>
    <w:rsid w:val="00E03590"/>
    <w:rsid w:val="00E13411"/>
    <w:rsid w:val="00E17240"/>
    <w:rsid w:val="00E17FB0"/>
    <w:rsid w:val="00E26EB3"/>
    <w:rsid w:val="00EA5800"/>
    <w:rsid w:val="00EC233C"/>
    <w:rsid w:val="00EC4BB2"/>
    <w:rsid w:val="00ED2D25"/>
    <w:rsid w:val="00EF1B77"/>
    <w:rsid w:val="00EF1F46"/>
    <w:rsid w:val="00F07456"/>
    <w:rsid w:val="00F233F0"/>
    <w:rsid w:val="00F26026"/>
    <w:rsid w:val="00F27CB1"/>
    <w:rsid w:val="00F3076B"/>
    <w:rsid w:val="00F34597"/>
    <w:rsid w:val="00F41493"/>
    <w:rsid w:val="00F51AA0"/>
    <w:rsid w:val="00F75B9F"/>
    <w:rsid w:val="00FA63BA"/>
    <w:rsid w:val="00FA6777"/>
    <w:rsid w:val="00FC6BEB"/>
    <w:rsid w:val="00FD6F19"/>
    <w:rsid w:val="00FE199E"/>
    <w:rsid w:val="00FE20E9"/>
    <w:rsid w:val="00FE45FA"/>
    <w:rsid w:val="00FF20F3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634B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kern w:val="1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1C634B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1C634B"/>
    <w:pPr>
      <w:keepNext/>
      <w:tabs>
        <w:tab w:val="num" w:pos="0"/>
      </w:tabs>
      <w:suppressAutoHyphens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8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6F23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086D87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086D87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86D87"/>
    <w:rPr>
      <w:vertAlign w:val="superscript"/>
    </w:rPr>
  </w:style>
  <w:style w:type="character" w:customStyle="1" w:styleId="10">
    <w:name w:val="Заголовок 1 Знак"/>
    <w:basedOn w:val="a0"/>
    <w:link w:val="1"/>
    <w:rsid w:val="001C634B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1C634B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1C634B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1C634B"/>
    <w:pPr>
      <w:widowControl w:val="0"/>
      <w:suppressAutoHyphens/>
      <w:snapToGrid w:val="0"/>
      <w:spacing w:after="0" w:line="240" w:lineRule="auto"/>
      <w:ind w:left="4320"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1C63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1C634B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1C634B"/>
  </w:style>
  <w:style w:type="paragraph" w:customStyle="1" w:styleId="ConsPlusNormal">
    <w:name w:val="ConsPlusNormal"/>
    <w:rsid w:val="006230AD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9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0C3C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DD6E2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D6E2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D6E2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6E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6E20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3477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634B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kern w:val="1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1C634B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1C634B"/>
    <w:pPr>
      <w:keepNext/>
      <w:tabs>
        <w:tab w:val="num" w:pos="0"/>
      </w:tabs>
      <w:suppressAutoHyphens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8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6F23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086D87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086D87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86D87"/>
    <w:rPr>
      <w:vertAlign w:val="superscript"/>
    </w:rPr>
  </w:style>
  <w:style w:type="character" w:customStyle="1" w:styleId="10">
    <w:name w:val="Заголовок 1 Знак"/>
    <w:basedOn w:val="a0"/>
    <w:link w:val="1"/>
    <w:rsid w:val="001C634B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1C634B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1C634B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1C634B"/>
    <w:pPr>
      <w:widowControl w:val="0"/>
      <w:suppressAutoHyphens/>
      <w:snapToGrid w:val="0"/>
      <w:spacing w:after="0" w:line="240" w:lineRule="auto"/>
      <w:ind w:left="4320"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1C63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1C634B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1C634B"/>
  </w:style>
  <w:style w:type="paragraph" w:customStyle="1" w:styleId="ConsPlusNormal">
    <w:name w:val="ConsPlusNormal"/>
    <w:rsid w:val="006230AD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9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0C3C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DD6E2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D6E2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D6E2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6E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6E20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347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sp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C3C3-24D0-40EF-83D6-2981195D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Навольнева Елена Евгеньевна</dc:creator>
  <cp:lastModifiedBy>Кабанова Любовь Владимировна</cp:lastModifiedBy>
  <cp:revision>2</cp:revision>
  <cp:lastPrinted>2016-09-29T13:23:00Z</cp:lastPrinted>
  <dcterms:created xsi:type="dcterms:W3CDTF">2017-07-07T13:28:00Z</dcterms:created>
  <dcterms:modified xsi:type="dcterms:W3CDTF">2017-07-07T13:28:00Z</dcterms:modified>
</cp:coreProperties>
</file>